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SettleTrace</w:t>
      </w:r>
    </w:p>
    <w:p>
      <w:pPr>
        <w:spacing w:after="400" w:before="200"/>
        <w:jc w:val="center"/>
      </w:pPr>
      <w:r>
        <w:rPr>
          <w:b/>
          <w:bCs/>
          <w:color w:val="2E74B5"/>
          <w:sz w:val="40"/>
          <w:szCs w:val="40"/>
        </w:rPr>
        <w:t xml:space="preserve">Product Requirements Document</w:t>
      </w:r>
    </w:p>
    <w:p>
      <w:pPr>
        <w:spacing w:after="1200"/>
        <w:jc w:val="center"/>
      </w:pPr>
      <w:r>
        <w:rPr>
          <w:i/>
          <w:iCs/>
          <w:color w:val="595959"/>
          <w:sz w:val="24"/>
          <w:szCs w:val="24"/>
        </w:rPr>
        <w:t xml:space="preserve">Reconciliation Copilot for Razorpay Merchants</w:t>
      </w:r>
    </w:p>
    <w:p>
      <w:pPr>
        <w:spacing w:after="100"/>
        <w:jc w:val="center"/>
      </w:pPr>
      <w:r>
        <w:rPr>
          <w:b/>
          <w:bCs/>
          <w:color w:val="595959"/>
          <w:sz w:val="20"/>
          <w:szCs w:val="20"/>
        </w:rPr>
        <w:t xml:space="preserve">Document Type:  </w:t>
      </w:r>
      <w:r>
        <w:rPr>
          <w:color w:val="595959"/>
          <w:sz w:val="20"/>
          <w:szCs w:val="20"/>
        </w:rPr>
        <w:t xml:space="preserve">PRD</w:t>
      </w:r>
    </w:p>
    <w:p>
      <w:pPr>
        <w:spacing w:after="100"/>
        <w:jc w:val="center"/>
      </w:pPr>
      <w:r>
        <w:rPr>
          <w:b/>
          <w:bCs/>
          <w:color w:val="595959"/>
          <w:sz w:val="20"/>
          <w:szCs w:val="20"/>
        </w:rPr>
        <w:t xml:space="preserve">Track:  </w:t>
      </w:r>
      <w:r>
        <w:rPr>
          <w:color w:val="595959"/>
          <w:sz w:val="20"/>
          <w:szCs w:val="20"/>
        </w:rPr>
        <w:t xml:space="preserve">Razorpay AI Buildathon 2026 — AI Finance Controller</w:t>
      </w:r>
    </w:p>
    <w:p>
      <w:pPr>
        <w:spacing w:after="100"/>
        <w:jc w:val="center"/>
      </w:pPr>
      <w:r>
        <w:rPr>
          <w:b/>
          <w:bCs/>
          <w:color w:val="595959"/>
          <w:sz w:val="20"/>
          <w:szCs w:val="20"/>
        </w:rPr>
        <w:t xml:space="preserve">Version:  </w:t>
      </w:r>
      <w:r>
        <w:rPr>
          <w:color w:val="595959"/>
          <w:sz w:val="20"/>
          <w:szCs w:val="20"/>
        </w:rPr>
        <w:t xml:space="preserve">1.0</w:t>
      </w:r>
    </w:p>
    <w:p>
      <w:pPr>
        <w:spacing w:after="100"/>
        <w:jc w:val="center"/>
      </w:pPr>
      <w:r>
        <w:rPr>
          <w:b/>
          <w:bCs/>
          <w:color w:val="595959"/>
          <w:sz w:val="20"/>
          <w:szCs w:val="20"/>
        </w:rPr>
        <w:t xml:space="preserve">Status:  </w:t>
      </w:r>
      <w:r>
        <w:rPr>
          <w:color w:val="595959"/>
          <w:sz w:val="20"/>
          <w:szCs w:val="20"/>
        </w:rPr>
        <w:t xml:space="preserve">Draft for Submission</w:t>
      </w:r>
    </w:p>
    <w:p>
      <w:pPr>
        <w:spacing w:after="100"/>
        <w:jc w:val="center"/>
      </w:pPr>
      <w:r>
        <w:rPr>
          <w:b/>
          <w:bCs/>
          <w:color w:val="595959"/>
          <w:sz w:val="20"/>
          <w:szCs w:val="20"/>
        </w:rPr>
        <w:t xml:space="preserve">Prepared by:  </w:t>
      </w:r>
      <w:r>
        <w:rPr>
          <w:color w:val="595959"/>
          <w:sz w:val="20"/>
          <w:szCs w:val="20"/>
        </w:rPr>
        <w:t xml:space="preserve">Vica</w:t>
      </w:r>
    </w:p>
    <w:p>
      <w:r>
        <w:br w:type="page"/>
      </w:r>
    </w:p>
    <w:p>
      <w:pPr>
        <w:pStyle w:val="Heading1"/>
        <w:pBdr>
          <w:bottom w:val="single" w:color="1F3864" w:sz="6" w:space="4"/>
        </w:pBdr>
        <w:spacing w:after="200" w:before="400"/>
      </w:pPr>
      <w:r>
        <w:rPr>
          <w:b/>
          <w:bCs/>
          <w:color w:val="1F3864"/>
        </w:rPr>
        <w:t xml:space="preserve">Table of Contents</w:t>
      </w:r>
    </w:p>
    <w:p>
      <w:pPr>
        <w:pBdr>
          <w:bottom w:val="single" w:color="D9D9D9" w:sz="4" w:space="4"/>
        </w:pBdr>
        <w:spacing w:after="140"/>
      </w:pPr>
      <w:r>
        <w:rPr>
          <w:color w:val="1F3864"/>
          <w:sz w:val="24"/>
          <w:szCs w:val="24"/>
        </w:rPr>
        <w:t xml:space="preserve">1. Executive Summary</w:t>
      </w:r>
    </w:p>
    <w:p>
      <w:pPr>
        <w:pBdr>
          <w:bottom w:val="single" w:color="D9D9D9" w:sz="4" w:space="4"/>
        </w:pBdr>
        <w:spacing w:after="140"/>
      </w:pPr>
      <w:r>
        <w:rPr>
          <w:color w:val="1F3864"/>
          <w:sz w:val="24"/>
          <w:szCs w:val="24"/>
        </w:rPr>
        <w:t xml:space="preserve">2. Problem Statement</w:t>
      </w:r>
    </w:p>
    <w:p>
      <w:pPr>
        <w:pBdr>
          <w:bottom w:val="single" w:color="D9D9D9" w:sz="4" w:space="4"/>
        </w:pBdr>
        <w:spacing w:after="140"/>
      </w:pPr>
      <w:r>
        <w:rPr>
          <w:color w:val="1F3864"/>
          <w:sz w:val="24"/>
          <w:szCs w:val="24"/>
        </w:rPr>
        <w:t xml:space="preserve">3. Goals and Objectives</w:t>
      </w:r>
    </w:p>
    <w:p>
      <w:pPr>
        <w:pBdr>
          <w:bottom w:val="single" w:color="D9D9D9" w:sz="4" w:space="4"/>
        </w:pBdr>
        <w:spacing w:after="140"/>
      </w:pPr>
      <w:r>
        <w:rPr>
          <w:color w:val="1F3864"/>
          <w:sz w:val="24"/>
          <w:szCs w:val="24"/>
        </w:rPr>
        <w:t xml:space="preserve">4. Target Users and Personas</w:t>
      </w:r>
    </w:p>
    <w:p>
      <w:pPr>
        <w:pBdr>
          <w:bottom w:val="single" w:color="D9D9D9" w:sz="4" w:space="4"/>
        </w:pBdr>
        <w:spacing w:after="140"/>
      </w:pPr>
      <w:r>
        <w:rPr>
          <w:color w:val="1F3864"/>
          <w:sz w:val="24"/>
          <w:szCs w:val="24"/>
        </w:rPr>
        <w:t xml:space="preserve">5. Product Overview</w:t>
      </w:r>
    </w:p>
    <w:p>
      <w:pPr>
        <w:pBdr>
          <w:bottom w:val="single" w:color="D9D9D9" w:sz="4" w:space="4"/>
        </w:pBdr>
        <w:spacing w:after="140"/>
      </w:pPr>
      <w:r>
        <w:rPr>
          <w:color w:val="1F3864"/>
          <w:sz w:val="24"/>
          <w:szCs w:val="24"/>
        </w:rPr>
        <w:t xml:space="preserve">6. Success Metrics</w:t>
      </w:r>
    </w:p>
    <w:p>
      <w:pPr>
        <w:pBdr>
          <w:bottom w:val="single" w:color="D9D9D9" w:sz="4" w:space="4"/>
        </w:pBdr>
        <w:spacing w:after="140"/>
      </w:pPr>
      <w:r>
        <w:rPr>
          <w:color w:val="1F3864"/>
          <w:sz w:val="24"/>
          <w:szCs w:val="24"/>
        </w:rPr>
        <w:t xml:space="preserve">7. Business Model and Value to Razorpay</w:t>
      </w:r>
    </w:p>
    <w:p>
      <w:pPr>
        <w:pBdr>
          <w:bottom w:val="single" w:color="D9D9D9" w:sz="4" w:space="4"/>
        </w:pBdr>
        <w:spacing w:after="140"/>
      </w:pPr>
      <w:r>
        <w:rPr>
          <w:color w:val="1F3864"/>
          <w:sz w:val="24"/>
          <w:szCs w:val="24"/>
        </w:rPr>
        <w:t xml:space="preserve">8. Assumptions and Constraints</w:t>
      </w:r>
    </w:p>
    <w:p>
      <w:pPr>
        <w:pBdr>
          <w:bottom w:val="single" w:color="D9D9D9" w:sz="4" w:space="4"/>
        </w:pBdr>
        <w:spacing w:after="140"/>
      </w:pPr>
      <w:r>
        <w:rPr>
          <w:color w:val="1F3864"/>
          <w:sz w:val="24"/>
          <w:szCs w:val="24"/>
        </w:rPr>
        <w:t xml:space="preserve">9. Roadmap</w:t>
      </w:r>
    </w:p>
    <w:p>
      <w:pPr>
        <w:pBdr>
          <w:bottom w:val="single" w:color="D9D9D9" w:sz="4" w:space="4"/>
        </w:pBdr>
        <w:spacing w:after="140"/>
      </w:pPr>
      <w:r>
        <w:rPr>
          <w:color w:val="1F3864"/>
          <w:sz w:val="24"/>
          <w:szCs w:val="24"/>
        </w:rPr>
        <w:t xml:space="preserve">10. Risks and Mitigations</w:t>
      </w:r>
    </w:p>
    <w:p>
      <w:pPr>
        <w:pBdr>
          <w:bottom w:val="single" w:color="D9D9D9" w:sz="4" w:space="4"/>
        </w:pBdr>
        <w:spacing w:after="140"/>
      </w:pPr>
      <w:r>
        <w:rPr>
          <w:color w:val="1F3864"/>
          <w:sz w:val="24"/>
          <w:szCs w:val="24"/>
        </w:rPr>
        <w:t xml:space="preserve">11. Appendix — Evidence Citations</w:t>
      </w:r>
    </w:p>
    <w:p>
      <w:r>
        <w:br w:type="page"/>
      </w:r>
    </w:p>
    <w:p>
      <w:pPr>
        <w:pStyle w:val="Heading1"/>
        <w:pBdr>
          <w:bottom w:val="single" w:color="1F3864" w:sz="6" w:space="4"/>
        </w:pBdr>
        <w:spacing w:after="200" w:before="400"/>
      </w:pPr>
      <w:r>
        <w:rPr>
          <w:b/>
          <w:bCs/>
          <w:color w:val="1F3864"/>
        </w:rPr>
        <w:t xml:space="preserve">1. Executive Summary</w:t>
      </w:r>
    </w:p>
    <w:p>
      <w:pPr>
        <w:spacing w:after="160" w:line="276"/>
      </w:pPr>
      <w:r>
        <w:rPr>
          <w:sz w:val="22"/>
          <w:szCs w:val="22"/>
        </w:rPr>
        <w:t xml:space="preserve">SettleTrace is a reconciliation copilot that sits on top of a merchant's Razorpay account and answers two questions merchants currently cannot answer for themselves: exactly which transactions and fee deductions make up the net amount that lands in their bank account, and whether every order in their store actually reflects the true, current payment status on Razorpay's side.</w:t>
      </w:r>
    </w:p>
    <w:p>
      <w:pPr>
        <w:spacing w:after="160" w:line="276"/>
      </w:pPr>
      <w:r>
        <w:rPr>
          <w:sz w:val="22"/>
          <w:szCs w:val="22"/>
        </w:rPr>
        <w:t xml:space="preserve">The product is built around two modules. The Settlement Linkage Auditor reconstructs a settlement payout transaction-by-transaction against Razorpay's Payments API, verifies every fee, GST, and reserve line item, and produces a batch-level accuracy report with an honest exception list. The Payment State Reconciler watches for orders stuck in a pending or processing state because a webhook was missed, delayed, or duplicated, and automatically corrects the merchant's order record by polling Razorpay's own API — the exact fallback Razorpay's own documentation recommends but which almost no small merchant actually implements.</w:t>
      </w:r>
    </w:p>
    <w:p>
      <w:pPr>
        <w:spacing w:after="160" w:line="276"/>
      </w:pPr>
      <w:r>
        <w:rPr>
          <w:sz w:val="22"/>
          <w:szCs w:val="22"/>
        </w:rPr>
        <w:t xml:space="preserve">Both modules are grounded in problems Razorpay's own public material and third-party evidence confirm are real and currently unresolved: a 2026 Razorpay blog post explicitly states that most merchants receive "net-only payouts with no transaction linkage," and multiple GitHub issues on Razorpay's own e-commerce plugins document webhook delays of up to five hours and duplicate-order bugs caused by repeated webhook delivery. This PRD defines the product's purpose, users, scope, success criteria, and roadmap.</w:t>
      </w:r>
    </w:p>
    <w:p>
      <w:pPr>
        <w:pStyle w:val="Heading1"/>
        <w:pBdr>
          <w:bottom w:val="single" w:color="1F3864" w:sz="6" w:space="4"/>
        </w:pBdr>
        <w:spacing w:after="200" w:before="400"/>
      </w:pPr>
      <w:r>
        <w:rPr>
          <w:b/>
          <w:bCs/>
          <w:color w:val="1F3864"/>
        </w:rPr>
        <w:t xml:space="preserve">2. Problem Statement</w:t>
      </w:r>
    </w:p>
    <w:p>
      <w:pPr>
        <w:pStyle w:val="Heading2"/>
        <w:spacing w:after="150" w:before="300"/>
      </w:pPr>
      <w:r>
        <w:rPr>
          <w:b/>
          <w:bCs/>
          <w:color w:val="2E74B5"/>
        </w:rPr>
        <w:t xml:space="preserve">2.1 Settlement opacity</w:t>
      </w:r>
    </w:p>
    <w:p>
      <w:pPr>
        <w:spacing w:after="160" w:line="276"/>
      </w:pPr>
      <w:r>
        <w:rPr>
          <w:sz w:val="22"/>
          <w:szCs w:val="22"/>
        </w:rPr>
        <w:t xml:space="preserve">Merchants receive a single net figure per settlement cycle with no built-in way to verify which transactions, and which exact MDR, GST, and reserve deductions, produced that number. Razorpay's own "Settlement Transparency" blog post (2026) states that most founders "still sign merchant agreements without interrogating how, when, and where they get paid," and explicitly lists the absence of transaction-level linkage as a known gap in the industry, including for many of Razorpay's own merchants.</w:t>
      </w:r>
    </w:p>
    <w:p>
      <w:pPr>
        <w:pStyle w:val="Heading2"/>
        <w:spacing w:after="150" w:before="300"/>
      </w:pPr>
      <w:r>
        <w:rPr>
          <w:b/>
          <w:bCs/>
          <w:color w:val="2E74B5"/>
        </w:rPr>
        <w:t xml:space="preserve">2.2 Payment status desynchronisation</w:t>
      </w:r>
    </w:p>
    <w:p>
      <w:pPr>
        <w:spacing w:after="160" w:line="276"/>
      </w:pPr>
      <w:r>
        <w:rPr>
          <w:sz w:val="22"/>
          <w:szCs w:val="22"/>
        </w:rPr>
        <w:t xml:space="preserve">Razorpay's Webhooks Best Practices documentation acknowledges that webhook delivery can be missed, delayed, duplicated, or received out of order, and explicitly recommends that merchants "poll our payment APIs" for anything business-critical. In practice, almost no small merchant on WooCommerce, Shopify, or Magento builds this fallback. Documented consequences include a five-hour delay between payment capture and webhook delivery (razorpay-woocommerce, GitHub Issue #571), duplicate orders created by repeated webhook delivery (razorpay-magento, GitHub Issue #208), and stores left frozen for eight to ten or more days because an order remained stuck on "processing" (multiple Shopify Community threads).</w:t>
      </w:r>
    </w:p>
    <w:p>
      <w:pPr>
        <w:pStyle w:val="Heading2"/>
        <w:spacing w:after="150" w:before="300"/>
      </w:pPr>
      <w:r>
        <w:rPr>
          <w:b/>
          <w:bCs/>
          <w:color w:val="2E74B5"/>
        </w:rPr>
        <w:t xml:space="preserve">2.3 Why this gap has not been closed by existing tools</w:t>
      </w:r>
    </w:p>
    <w:p>
      <w:pPr>
        <w:spacing w:after="160" w:line="276"/>
      </w:pPr>
      <w:r>
        <w:rPr>
          <w:sz w:val="22"/>
          <w:szCs w:val="22"/>
        </w:rPr>
        <w:t xml:space="preserve">A build-vs-buy review of the existing market shows every adjacent solution stops short of this specific gap:</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36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Category</w:t>
            </w:r>
          </w:p>
        </w:tc>
        <w:tc>
          <w:tcPr>
            <w:tcW w:type="dxa" w:w="2400"/>
            <w:shd w:fill="1F3864" w:color="auto" w:val="clear"/>
            <w:tcMar>
              <w:top w:type="dxa" w:w="80"/>
              <w:left w:type="dxa" w:w="100"/>
              <w:bottom w:type="dxa" w:w="80"/>
              <w:right w:type="dxa" w:w="100"/>
            </w:tcMar>
          </w:tcPr>
          <w:p>
            <w:r>
              <w:rPr>
                <w:b/>
                <w:bCs/>
                <w:color w:val="FFFFFF"/>
                <w:sz w:val="20"/>
                <w:szCs w:val="20"/>
              </w:rPr>
              <w:t xml:space="preserve">Examples</w:t>
            </w:r>
          </w:p>
        </w:tc>
        <w:tc>
          <w:tcPr>
            <w:tcW w:type="dxa" w:w="2600"/>
            <w:shd w:fill="1F3864" w:color="auto" w:val="clear"/>
            <w:tcMar>
              <w:top w:type="dxa" w:w="80"/>
              <w:left w:type="dxa" w:w="100"/>
              <w:bottom w:type="dxa" w:w="80"/>
              <w:right w:type="dxa" w:w="100"/>
            </w:tcMar>
          </w:tcPr>
          <w:p>
            <w:r>
              <w:rPr>
                <w:b/>
                <w:bCs/>
                <w:color w:val="FFFFFF"/>
                <w:sz w:val="20"/>
                <w:szCs w:val="20"/>
              </w:rPr>
              <w:t xml:space="preserve">What it solves</w:t>
            </w:r>
          </w:p>
        </w:tc>
        <w:tc>
          <w:tcPr>
            <w:tcW w:type="dxa" w:w="3600"/>
            <w:shd w:fill="1F3864" w:color="auto" w:val="clear"/>
            <w:tcMar>
              <w:top w:type="dxa" w:w="80"/>
              <w:left w:type="dxa" w:w="100"/>
              <w:bottom w:type="dxa" w:w="80"/>
              <w:right w:type="dxa" w:w="100"/>
            </w:tcMar>
          </w:tcPr>
          <w:p>
            <w:r>
              <w:rPr>
                <w:b/>
                <w:bCs/>
                <w:color w:val="FFFFFF"/>
                <w:sz w:val="20"/>
                <w:szCs w:val="20"/>
              </w:rPr>
              <w:t xml:space="preserve">What it does not solve</w:t>
            </w:r>
          </w:p>
        </w:tc>
      </w:tr>
      <w:tr>
        <w:tc>
          <w:tcPr>
            <w:tcW w:type="dxa" w:w="2400"/>
            <w:tcMar>
              <w:top w:type="dxa" w:w="80"/>
              <w:left w:type="dxa" w:w="100"/>
              <w:bottom w:type="dxa" w:w="80"/>
              <w:right w:type="dxa" w:w="100"/>
            </w:tcMar>
          </w:tcPr>
          <w:p>
            <w:r>
              <w:rPr>
                <w:b w:val="false"/>
                <w:bCs w:val="false"/>
                <w:color w:val="000000"/>
                <w:sz w:val="20"/>
                <w:szCs w:val="20"/>
              </w:rPr>
              <w:t xml:space="preserve">Generic webhook infra</w:t>
            </w:r>
          </w:p>
        </w:tc>
        <w:tc>
          <w:tcPr>
            <w:tcW w:type="dxa" w:w="2400"/>
            <w:tcMar>
              <w:top w:type="dxa" w:w="80"/>
              <w:left w:type="dxa" w:w="100"/>
              <w:bottom w:type="dxa" w:w="80"/>
              <w:right w:type="dxa" w:w="100"/>
            </w:tcMar>
          </w:tcPr>
          <w:p>
            <w:r>
              <w:rPr>
                <w:b w:val="false"/>
                <w:bCs w:val="false"/>
                <w:color w:val="000000"/>
                <w:sz w:val="20"/>
                <w:szCs w:val="20"/>
              </w:rPr>
              <w:t xml:space="preserve">Svix, Hookdeck</w:t>
            </w:r>
          </w:p>
        </w:tc>
        <w:tc>
          <w:tcPr>
            <w:tcW w:type="dxa" w:w="2600"/>
            <w:tcMar>
              <w:top w:type="dxa" w:w="80"/>
              <w:left w:type="dxa" w:w="100"/>
              <w:bottom w:type="dxa" w:w="80"/>
              <w:right w:type="dxa" w:w="100"/>
            </w:tcMar>
          </w:tcPr>
          <w:p>
            <w:r>
              <w:rPr>
                <w:b w:val="false"/>
                <w:bCs w:val="false"/>
                <w:color w:val="000000"/>
                <w:sz w:val="20"/>
                <w:szCs w:val="20"/>
              </w:rPr>
              <w:t xml:space="preserve">Guarantees delivery of whatever event the source sends</w:t>
            </w:r>
          </w:p>
        </w:tc>
        <w:tc>
          <w:tcPr>
            <w:tcW w:type="dxa" w:w="3600"/>
            <w:tcMar>
              <w:top w:type="dxa" w:w="80"/>
              <w:left w:type="dxa" w:w="100"/>
              <w:bottom w:type="dxa" w:w="80"/>
              <w:right w:type="dxa" w:w="100"/>
            </w:tcMar>
          </w:tcPr>
          <w:p>
            <w:r>
              <w:rPr>
                <w:b w:val="false"/>
                <w:bCs w:val="false"/>
                <w:color w:val="000000"/>
                <w:sz w:val="20"/>
                <w:szCs w:val="20"/>
              </w:rPr>
              <w:t xml:space="preserve">Cannot recover an event the source never sent, and has no knowledge of Razorpay's specific payment-state lifecycle</w:t>
            </w:r>
          </w:p>
        </w:tc>
      </w:tr>
      <w:tr>
        <w:tc>
          <w:tcPr>
            <w:tcW w:type="dxa" w:w="2400"/>
            <w:shd w:fill="F2F2F2" w:color="auto" w:val="clear"/>
            <w:tcMar>
              <w:top w:type="dxa" w:w="80"/>
              <w:left w:type="dxa" w:w="100"/>
              <w:bottom w:type="dxa" w:w="80"/>
              <w:right w:type="dxa" w:w="100"/>
            </w:tcMar>
          </w:tcPr>
          <w:p>
            <w:r>
              <w:rPr>
                <w:b w:val="false"/>
                <w:bCs w:val="false"/>
                <w:color w:val="000000"/>
                <w:sz w:val="20"/>
                <w:szCs w:val="20"/>
              </w:rPr>
              <w:t xml:space="preserve">Chargeback / dispute alerts</w:t>
            </w:r>
          </w:p>
        </w:tc>
        <w:tc>
          <w:tcPr>
            <w:tcW w:type="dxa" w:w="2400"/>
            <w:shd w:fill="F2F2F2" w:color="auto" w:val="clear"/>
            <w:tcMar>
              <w:top w:type="dxa" w:w="80"/>
              <w:left w:type="dxa" w:w="100"/>
              <w:bottom w:type="dxa" w:w="80"/>
              <w:right w:type="dxa" w:w="100"/>
            </w:tcMar>
          </w:tcPr>
          <w:p>
            <w:r>
              <w:rPr>
                <w:b w:val="false"/>
                <w:bCs w:val="false"/>
                <w:color w:val="000000"/>
                <w:sz w:val="20"/>
                <w:szCs w:val="20"/>
              </w:rPr>
              <w:t xml:space="preserve">Ethoca, Verifi, Chargeflow</w:t>
            </w:r>
          </w:p>
        </w:tc>
        <w:tc>
          <w:tcPr>
            <w:tcW w:type="dxa" w:w="2600"/>
            <w:shd w:fill="F2F2F2" w:color="auto" w:val="clear"/>
            <w:tcMar>
              <w:top w:type="dxa" w:w="80"/>
              <w:left w:type="dxa" w:w="100"/>
              <w:bottom w:type="dxa" w:w="80"/>
              <w:right w:type="dxa" w:w="100"/>
            </w:tcMar>
          </w:tcPr>
          <w:p>
            <w:r>
              <w:rPr>
                <w:b w:val="false"/>
                <w:bCs w:val="false"/>
                <w:color w:val="000000"/>
                <w:sz w:val="20"/>
                <w:szCs w:val="20"/>
              </w:rPr>
              <w:t xml:space="preserve">Warns merchants of card-network disputes before they are recorded</w:t>
            </w:r>
          </w:p>
        </w:tc>
        <w:tc>
          <w:tcPr>
            <w:tcW w:type="dxa" w:w="3600"/>
            <w:shd w:fill="F2F2F2" w:color="auto" w:val="clear"/>
            <w:tcMar>
              <w:top w:type="dxa" w:w="80"/>
              <w:left w:type="dxa" w:w="100"/>
              <w:bottom w:type="dxa" w:w="80"/>
              <w:right w:type="dxa" w:w="100"/>
            </w:tcMar>
          </w:tcPr>
          <w:p>
            <w:r>
              <w:rPr>
                <w:b w:val="false"/>
                <w:bCs w:val="false"/>
                <w:color w:val="000000"/>
                <w:sz w:val="20"/>
                <w:szCs w:val="20"/>
              </w:rPr>
              <w:t xml:space="preserve">Built on Visa/Mastercard rails; does not cover UPI, which dominates Razorpay's volume</w:t>
            </w:r>
          </w:p>
        </w:tc>
      </w:tr>
      <w:tr>
        <w:tc>
          <w:tcPr>
            <w:tcW w:type="dxa" w:w="2400"/>
            <w:tcMar>
              <w:top w:type="dxa" w:w="80"/>
              <w:left w:type="dxa" w:w="100"/>
              <w:bottom w:type="dxa" w:w="80"/>
              <w:right w:type="dxa" w:w="100"/>
            </w:tcMar>
          </w:tcPr>
          <w:p>
            <w:r>
              <w:rPr>
                <w:b w:val="false"/>
                <w:bCs w:val="false"/>
                <w:color w:val="000000"/>
                <w:sz w:val="20"/>
                <w:szCs w:val="20"/>
              </w:rPr>
              <w:t xml:space="preserve">Razorpay's own tooling</w:t>
            </w:r>
          </w:p>
        </w:tc>
        <w:tc>
          <w:tcPr>
            <w:tcW w:type="dxa" w:w="2400"/>
            <w:tcMar>
              <w:top w:type="dxa" w:w="80"/>
              <w:left w:type="dxa" w:w="100"/>
              <w:bottom w:type="dxa" w:w="80"/>
              <w:right w:type="dxa" w:w="100"/>
            </w:tcMar>
          </w:tcPr>
          <w:p>
            <w:r>
              <w:rPr>
                <w:b w:val="false"/>
                <w:bCs w:val="false"/>
                <w:color w:val="000000"/>
                <w:sz w:val="20"/>
                <w:szCs w:val="20"/>
              </w:rPr>
              <w:t xml:space="preserve">Single Reconciliation View, Chargeback Shield</w:t>
            </w:r>
          </w:p>
        </w:tc>
        <w:tc>
          <w:tcPr>
            <w:tcW w:type="dxa" w:w="2600"/>
            <w:tcMar>
              <w:top w:type="dxa" w:w="80"/>
              <w:left w:type="dxa" w:w="100"/>
              <w:bottom w:type="dxa" w:w="80"/>
              <w:right w:type="dxa" w:w="100"/>
            </w:tcMar>
          </w:tcPr>
          <w:p>
            <w:r>
              <w:rPr>
                <w:b w:val="false"/>
                <w:bCs w:val="false"/>
                <w:color w:val="000000"/>
                <w:sz w:val="20"/>
                <w:szCs w:val="20"/>
              </w:rPr>
              <w:t xml:space="preserve">Settlement report viewing; transaction-level fraud detection on international payments</w:t>
            </w:r>
          </w:p>
        </w:tc>
        <w:tc>
          <w:tcPr>
            <w:tcW w:type="dxa" w:w="3600"/>
            <w:tcMar>
              <w:top w:type="dxa" w:w="80"/>
              <w:left w:type="dxa" w:w="100"/>
              <w:bottom w:type="dxa" w:w="80"/>
              <w:right w:type="dxa" w:w="100"/>
            </w:tcMar>
          </w:tcPr>
          <w:p>
            <w:r>
              <w:rPr>
                <w:b w:val="false"/>
                <w:bCs w:val="false"/>
                <w:color w:val="000000"/>
                <w:sz w:val="20"/>
                <w:szCs w:val="20"/>
              </w:rPr>
              <w:t xml:space="preserve">Net-only view with no transaction linkage; does not correct live order status</w:t>
            </w:r>
          </w:p>
        </w:tc>
      </w:tr>
      <w:tr>
        <w:tc>
          <w:tcPr>
            <w:tcW w:type="dxa" w:w="2400"/>
            <w:shd w:fill="F2F2F2" w:color="auto" w:val="clear"/>
            <w:tcMar>
              <w:top w:type="dxa" w:w="80"/>
              <w:left w:type="dxa" w:w="100"/>
              <w:bottom w:type="dxa" w:w="80"/>
              <w:right w:type="dxa" w:w="100"/>
            </w:tcMar>
          </w:tcPr>
          <w:p>
            <w:r>
              <w:rPr>
                <w:b w:val="false"/>
                <w:bCs w:val="false"/>
                <w:color w:val="000000"/>
                <w:sz w:val="20"/>
                <w:szCs w:val="20"/>
              </w:rPr>
              <w:t xml:space="preserve">Community / OSS tools</w:t>
            </w:r>
          </w:p>
        </w:tc>
        <w:tc>
          <w:tcPr>
            <w:tcW w:type="dxa" w:w="2400"/>
            <w:shd w:fill="F2F2F2" w:color="auto" w:val="clear"/>
            <w:tcMar>
              <w:top w:type="dxa" w:w="80"/>
              <w:left w:type="dxa" w:w="100"/>
              <w:bottom w:type="dxa" w:w="80"/>
              <w:right w:type="dxa" w:w="100"/>
            </w:tcMar>
          </w:tcPr>
          <w:p>
            <w:r>
              <w:rPr>
                <w:b w:val="false"/>
                <w:bCs w:val="false"/>
                <w:color w:val="000000"/>
                <w:sz w:val="20"/>
                <w:szCs w:val="20"/>
              </w:rPr>
              <w:t xml:space="preserve">shopify-razorpay reconciliation script</w:t>
            </w:r>
          </w:p>
        </w:tc>
        <w:tc>
          <w:tcPr>
            <w:tcW w:type="dxa" w:w="2600"/>
            <w:shd w:fill="F2F2F2" w:color="auto" w:val="clear"/>
            <w:tcMar>
              <w:top w:type="dxa" w:w="80"/>
              <w:left w:type="dxa" w:w="100"/>
              <w:bottom w:type="dxa" w:w="80"/>
              <w:right w:type="dxa" w:w="100"/>
            </w:tcMar>
          </w:tcPr>
          <w:p>
            <w:r>
              <w:rPr>
                <w:b w:val="false"/>
                <w:bCs w:val="false"/>
                <w:color w:val="000000"/>
                <w:sz w:val="20"/>
                <w:szCs w:val="20"/>
              </w:rPr>
              <w:t xml:space="preserve">Matches sales records for bookkeeping after the fact</w:t>
            </w:r>
          </w:p>
        </w:tc>
        <w:tc>
          <w:tcPr>
            <w:tcW w:type="dxa" w:w="3600"/>
            <w:shd w:fill="F2F2F2" w:color="auto" w:val="clear"/>
            <w:tcMar>
              <w:top w:type="dxa" w:w="80"/>
              <w:left w:type="dxa" w:w="100"/>
              <w:bottom w:type="dxa" w:w="80"/>
              <w:right w:type="dxa" w:w="100"/>
            </w:tcMar>
          </w:tcPr>
          <w:p>
            <w:r>
              <w:rPr>
                <w:b w:val="false"/>
                <w:bCs w:val="false"/>
                <w:color w:val="000000"/>
                <w:sz w:val="20"/>
                <w:szCs w:val="20"/>
              </w:rPr>
              <w:t xml:space="preserve">Assumes both systems already agree; does not detect or fix a live desync</w:t>
            </w:r>
          </w:p>
        </w:tc>
      </w:tr>
    </w:tbl>
    <w:p>
      <w:pPr>
        <w:spacing w:after="160" w:line="276"/>
      </w:pPr>
      <w:r>
        <w:rPr>
          <w:sz w:val="22"/>
          <w:szCs w:val="22"/>
        </w:rPr>
        <w:t xml:space="preserve">SettleTrace occupies the space these five categories leave open: Razorpay-domain-aware, transaction-level, and self-correcting rather than merely observational.</w:t>
      </w:r>
    </w:p>
    <w:p>
      <w:pPr>
        <w:pStyle w:val="Heading1"/>
        <w:pBdr>
          <w:bottom w:val="single" w:color="1F3864" w:sz="6" w:space="4"/>
        </w:pBdr>
        <w:spacing w:after="200" w:before="400"/>
      </w:pPr>
      <w:r>
        <w:rPr>
          <w:b/>
          <w:bCs/>
          <w:color w:val="1F3864"/>
        </w:rPr>
        <w:t xml:space="preserve">3. Goals and Objectives</w:t>
      </w:r>
    </w:p>
    <w:p>
      <w:pPr>
        <w:pStyle w:val="Heading2"/>
        <w:spacing w:after="150" w:before="300"/>
      </w:pPr>
      <w:r>
        <w:rPr>
          <w:b/>
          <w:bCs/>
          <w:color w:val="2E74B5"/>
        </w:rPr>
        <w:t xml:space="preserve">3.1 Business goals</w:t>
      </w:r>
    </w:p>
    <w:p>
      <w:pPr>
        <w:pStyle w:val="ListParagraph"/>
        <w:numPr>
          <w:ilvl w:val="0"/>
          <w:numId w:val="2"/>
        </w:numPr>
        <w:spacing w:after="90"/>
      </w:pPr>
      <w:r>
        <w:rPr>
          <w:sz w:val="22"/>
          <w:szCs w:val="22"/>
        </w:rPr>
        <w:t xml:space="preserve">Reduce the volume of merchant support tickets related to settlement confusion and stuck order status.</w:t>
      </w:r>
    </w:p>
    <w:p>
      <w:pPr>
        <w:pStyle w:val="ListParagraph"/>
        <w:numPr>
          <w:ilvl w:val="0"/>
          <w:numId w:val="2"/>
        </w:numPr>
        <w:spacing w:after="90"/>
      </w:pPr>
      <w:r>
        <w:rPr>
          <w:sz w:val="22"/>
          <w:szCs w:val="22"/>
        </w:rPr>
        <w:t xml:space="preserve">Increase merchant trust and retention on Razorpay by closing a documented transparency gap.</w:t>
      </w:r>
    </w:p>
    <w:p>
      <w:pPr>
        <w:pStyle w:val="ListParagraph"/>
        <w:numPr>
          <w:ilvl w:val="0"/>
          <w:numId w:val="2"/>
        </w:numPr>
        <w:spacing w:after="90"/>
      </w:pPr>
      <w:r>
        <w:rPr>
          <w:sz w:val="22"/>
          <w:szCs w:val="22"/>
        </w:rPr>
        <w:t xml:space="preserve">Demonstrate a feature that could plausibly be absorbed into Razorpay's own merchant dashboard, increasing platform stickiness rather than competing with it.</w:t>
      </w:r>
    </w:p>
    <w:p>
      <w:pPr>
        <w:pStyle w:val="Heading2"/>
        <w:spacing w:after="150" w:before="300"/>
      </w:pPr>
      <w:r>
        <w:rPr>
          <w:b/>
          <w:bCs/>
          <w:color w:val="2E74B5"/>
        </w:rPr>
        <w:t xml:space="preserve">3.2 User goals</w:t>
      </w:r>
    </w:p>
    <w:p>
      <w:pPr>
        <w:pStyle w:val="ListParagraph"/>
        <w:numPr>
          <w:ilvl w:val="0"/>
          <w:numId w:val="2"/>
        </w:numPr>
        <w:spacing w:after="90"/>
      </w:pPr>
      <w:r>
        <w:rPr>
          <w:sz w:val="22"/>
          <w:szCs w:val="22"/>
        </w:rPr>
        <w:t xml:space="preserve">Know, without manual spreadsheet work, exactly which transactions and fees composed a settlement.</w:t>
      </w:r>
    </w:p>
    <w:p>
      <w:pPr>
        <w:pStyle w:val="ListParagraph"/>
        <w:numPr>
          <w:ilvl w:val="0"/>
          <w:numId w:val="2"/>
        </w:numPr>
        <w:spacing w:after="90"/>
      </w:pPr>
      <w:r>
        <w:rPr>
          <w:sz w:val="22"/>
          <w:szCs w:val="22"/>
        </w:rPr>
        <w:t xml:space="preserve">Trust that an order's status on their store reflects reality, without needing to build custom polling infrastructure.</w:t>
      </w:r>
    </w:p>
    <w:p>
      <w:pPr>
        <w:pStyle w:val="ListParagraph"/>
        <w:numPr>
          <w:ilvl w:val="0"/>
          <w:numId w:val="2"/>
        </w:numPr>
        <w:spacing w:after="90"/>
      </w:pPr>
      <w:r>
        <w:rPr>
          <w:sz w:val="22"/>
          <w:szCs w:val="22"/>
        </w:rPr>
        <w:t xml:space="preserve">See a clear, honest list of anything the system could not resolve automatically, rather than a false "all clear."</w:t>
      </w:r>
    </w:p>
    <w:p>
      <w:pPr>
        <w:pStyle w:val="Heading2"/>
        <w:spacing w:after="150" w:before="300"/>
      </w:pPr>
      <w:r>
        <w:rPr>
          <w:b/>
          <w:bCs/>
          <w:color w:val="2E74B5"/>
        </w:rPr>
        <w:t xml:space="preserve">3.3 Non-goals (out of scope for this submission)</w:t>
      </w:r>
    </w:p>
    <w:p>
      <w:pPr>
        <w:pStyle w:val="ListParagraph"/>
        <w:numPr>
          <w:ilvl w:val="0"/>
          <w:numId w:val="2"/>
        </w:numPr>
        <w:spacing w:after="90"/>
      </w:pPr>
      <w:r>
        <w:rPr>
          <w:sz w:val="22"/>
          <w:szCs w:val="22"/>
        </w:rPr>
        <w:t xml:space="preserve">Replacing Razorpay's webhook infrastructure or fixing webhook delivery at the source.</w:t>
      </w:r>
    </w:p>
    <w:p>
      <w:pPr>
        <w:pStyle w:val="ListParagraph"/>
        <w:numPr>
          <w:ilvl w:val="0"/>
          <w:numId w:val="2"/>
        </w:numPr>
        <w:spacing w:after="90"/>
      </w:pPr>
      <w:r>
        <w:rPr>
          <w:sz w:val="22"/>
          <w:szCs w:val="22"/>
        </w:rPr>
        <w:t xml:space="preserve">Autonomous customer-facing communication or collections activity.</w:t>
      </w:r>
    </w:p>
    <w:p>
      <w:pPr>
        <w:pStyle w:val="ListParagraph"/>
        <w:numPr>
          <w:ilvl w:val="0"/>
          <w:numId w:val="2"/>
        </w:numPr>
        <w:spacing w:after="90"/>
      </w:pPr>
      <w:r>
        <w:rPr>
          <w:sz w:val="22"/>
          <w:szCs w:val="22"/>
        </w:rPr>
        <w:t xml:space="preserve">Card-network dispute management (chargebacks) — a related but separate problem space already served by mature third-party tools.</w:t>
      </w:r>
    </w:p>
    <w:p>
      <w:pPr>
        <w:pStyle w:val="Heading1"/>
        <w:pBdr>
          <w:bottom w:val="single" w:color="1F3864" w:sz="6" w:space="4"/>
        </w:pBdr>
        <w:spacing w:after="200" w:before="400"/>
      </w:pPr>
      <w:r>
        <w:rPr>
          <w:b/>
          <w:bCs/>
          <w:color w:val="1F3864"/>
        </w:rPr>
        <w:t xml:space="preserve">4. Target Users and Personas</w:t>
      </w:r>
    </w:p>
    <w:p>
      <w:pPr>
        <w:pStyle w:val="Heading3"/>
        <w:spacing w:after="100" w:before="200"/>
      </w:pPr>
      <w:r>
        <w:rPr>
          <w:b/>
          <w:bCs/>
          <w:color w:val="595959"/>
        </w:rPr>
        <w:t xml:space="preserve">Persona 1 — Solo/small D2C merchant</w:t>
      </w:r>
    </w:p>
    <w:p>
      <w:pPr>
        <w:spacing w:after="160" w:line="276"/>
      </w:pPr>
      <w:r>
        <w:rPr>
          <w:sz w:val="22"/>
          <w:szCs w:val="22"/>
        </w:rPr>
        <w:t xml:space="preserve">Runs a WooCommerce or Shopify store, has no in-house engineering team, and currently relies on the default plugin behaviour for payment status. Feels the pain of stuck orders directly as lost sales and support load.</w:t>
      </w:r>
    </w:p>
    <w:p>
      <w:pPr>
        <w:pStyle w:val="Heading3"/>
        <w:spacing w:after="100" w:before="200"/>
      </w:pPr>
      <w:r>
        <w:rPr>
          <w:b/>
          <w:bCs/>
          <w:color w:val="595959"/>
        </w:rPr>
        <w:t xml:space="preserve">Persona 2 — Finance or operations lead at a growing merchant</w:t>
      </w:r>
    </w:p>
    <w:p>
      <w:pPr>
        <w:spacing w:after="160" w:line="276"/>
      </w:pPr>
      <w:r>
        <w:rPr>
          <w:sz w:val="22"/>
          <w:szCs w:val="22"/>
        </w:rPr>
        <w:t xml:space="preserve">Manually reconciles Razorpay settlement reports against internal books every cycle. Wants a repeatable, auditable way to catch discrepancies without hiring a dedicated analyst.</w:t>
      </w:r>
    </w:p>
    <w:p>
      <w:pPr>
        <w:pStyle w:val="Heading3"/>
        <w:spacing w:after="100" w:before="200"/>
      </w:pPr>
      <w:r>
        <w:rPr>
          <w:b/>
          <w:bCs/>
          <w:color w:val="595959"/>
        </w:rPr>
        <w:t xml:space="preserve">Persona 3 — Razorpay merchant success / support team (internal)</w:t>
      </w:r>
    </w:p>
    <w:p>
      <w:pPr>
        <w:spacing w:after="160" w:line="276"/>
      </w:pPr>
      <w:r>
        <w:rPr>
          <w:sz w:val="22"/>
          <w:szCs w:val="22"/>
        </w:rPr>
        <w:t xml:space="preserve">Handles the inbound tickets generated by both problems today. A tool that resolves these automatically reduces ticket volume and escalations reaching this team.</w:t>
      </w:r>
    </w:p>
    <w:p>
      <w:pPr>
        <w:pStyle w:val="Heading1"/>
        <w:pBdr>
          <w:bottom w:val="single" w:color="1F3864" w:sz="6" w:space="4"/>
        </w:pBdr>
        <w:spacing w:after="200" w:before="400"/>
      </w:pPr>
      <w:r>
        <w:rPr>
          <w:b/>
          <w:bCs/>
          <w:color w:val="1F3864"/>
        </w:rPr>
        <w:t xml:space="preserve">5. Product Overview</w:t>
      </w:r>
    </w:p>
    <w:p>
      <w:pPr>
        <w:pStyle w:val="Heading2"/>
        <w:spacing w:after="150" w:before="300"/>
      </w:pPr>
      <w:r>
        <w:rPr>
          <w:b/>
          <w:bCs/>
          <w:color w:val="2E74B5"/>
        </w:rPr>
        <w:t xml:space="preserve">5.1 Module 1 — Settlement Linkage Auditor (core)</w:t>
      </w:r>
    </w:p>
    <w:p>
      <w:pPr>
        <w:spacing w:after="160" w:line="276"/>
      </w:pPr>
      <w:r>
        <w:rPr>
          <w:sz w:val="22"/>
          <w:szCs w:val="22"/>
        </w:rPr>
        <w:t xml:space="preserve">Ingests a settlement report (UTR-level) together with the underlying Payments API data for the same period, reconstructs which transactions and which fee/GST/reserve line items compose each settlement, and reports mismatches with a reason.</w:t>
      </w:r>
    </w:p>
    <w:p>
      <w:pPr>
        <w:pStyle w:val="Heading2"/>
        <w:spacing w:after="150" w:before="300"/>
      </w:pPr>
      <w:r>
        <w:rPr>
          <w:b/>
          <w:bCs/>
          <w:color w:val="2E74B5"/>
        </w:rPr>
        <w:t xml:space="preserve">5.2 Module 2 — Payment State Reconciler (secondary)</w:t>
      </w:r>
    </w:p>
    <w:p>
      <w:pPr>
        <w:spacing w:after="160" w:line="276"/>
      </w:pPr>
      <w:r>
        <w:rPr>
          <w:sz w:val="22"/>
          <w:szCs w:val="22"/>
        </w:rPr>
        <w:t xml:space="preserve">Monitors orders sitting in a pending/processing/authorized-not-captured state beyond an expected window, polls Razorpay's Payments API directly for ground truth, and corrects the merchant's local order record. Uses Razorpay's event-id header to silently discard duplicate webhook deliveries.</w:t>
      </w:r>
    </w:p>
    <w:p>
      <w:pPr>
        <w:pStyle w:val="Heading2"/>
        <w:spacing w:after="150" w:before="300"/>
      </w:pPr>
      <w:r>
        <w:rPr>
          <w:b/>
          <w:bCs/>
          <w:color w:val="2E74B5"/>
        </w:rPr>
        <w:t xml:space="preserve">5.3 Role of AI</w:t>
      </w:r>
    </w:p>
    <w:p>
      <w:pPr>
        <w:spacing w:after="160" w:line="276"/>
      </w:pPr>
      <w:r>
        <w:rPr>
          <w:sz w:val="22"/>
          <w:szCs w:val="22"/>
        </w:rPr>
        <w:t xml:space="preserve">AI is deliberately excluded from the core matching decision, which remains deterministic and auditable. AI is used only to (a) translate a mismatch or a stuck-payment cause into a plain-language explanation, and (b) rank exceptions by estimated revenue impact so a human reviewer looks at the highest-value cases first. No AI component takes an autonomous, irreversible, or customer-facing action.</w:t>
      </w:r>
    </w:p>
    <w:p>
      <w:pPr>
        <w:pStyle w:val="Heading1"/>
        <w:pBdr>
          <w:bottom w:val="single" w:color="1F3864" w:sz="6" w:space="4"/>
        </w:pBdr>
        <w:spacing w:after="200" w:before="400"/>
      </w:pPr>
      <w:r>
        <w:rPr>
          <w:b/>
          <w:bCs/>
          <w:color w:val="1F3864"/>
        </w:rPr>
        <w:t xml:space="preserve">6. Success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tblHeader/>
        </w:trPr>
        <w:tc>
          <w:tcPr>
            <w:tcW w:type="dxa" w:w="3000"/>
            <w:shd w:fill="1F3864" w:color="auto" w:val="clear"/>
            <w:tcMar>
              <w:top w:type="dxa" w:w="80"/>
              <w:left w:type="dxa" w:w="100"/>
              <w:bottom w:type="dxa" w:w="80"/>
              <w:right w:type="dxa" w:w="100"/>
            </w:tcMar>
          </w:tcPr>
          <w:p>
            <w:r>
              <w:rPr>
                <w:b/>
                <w:bCs/>
                <w:color w:val="FFFFFF"/>
                <w:sz w:val="20"/>
                <w:szCs w:val="20"/>
              </w:rPr>
              <w:t xml:space="preserve">Metric</w:t>
            </w:r>
          </w:p>
        </w:tc>
        <w:tc>
          <w:tcPr>
            <w:tcW w:type="dxa" w:w="3500"/>
            <w:shd w:fill="1F3864" w:color="auto" w:val="clear"/>
            <w:tcMar>
              <w:top w:type="dxa" w:w="80"/>
              <w:left w:type="dxa" w:w="100"/>
              <w:bottom w:type="dxa" w:w="80"/>
              <w:right w:type="dxa" w:w="100"/>
            </w:tcMar>
          </w:tcPr>
          <w:p>
            <w:r>
              <w:rPr>
                <w:b/>
                <w:bCs/>
                <w:color w:val="FFFFFF"/>
                <w:sz w:val="20"/>
                <w:szCs w:val="20"/>
              </w:rPr>
              <w:t xml:space="preserve">Target for MVP</w:t>
            </w:r>
          </w:p>
        </w:tc>
        <w:tc>
          <w:tcPr>
            <w:tcW w:type="dxa" w:w="3500"/>
            <w:shd w:fill="1F3864" w:color="auto" w:val="clear"/>
            <w:tcMar>
              <w:top w:type="dxa" w:w="80"/>
              <w:left w:type="dxa" w:w="100"/>
              <w:bottom w:type="dxa" w:w="80"/>
              <w:right w:type="dxa" w:w="100"/>
            </w:tcMar>
          </w:tcPr>
          <w:p>
            <w:r>
              <w:rPr>
                <w:b/>
                <w:bCs/>
                <w:color w:val="FFFFFF"/>
                <w:sz w:val="20"/>
                <w:szCs w:val="20"/>
              </w:rPr>
              <w:t xml:space="preserve">How measured</w:t>
            </w:r>
          </w:p>
        </w:tc>
      </w:tr>
      <w:tr>
        <w:tc>
          <w:tcPr>
            <w:tcW w:type="dxa" w:w="3000"/>
            <w:tcMar>
              <w:top w:type="dxa" w:w="80"/>
              <w:left w:type="dxa" w:w="100"/>
              <w:bottom w:type="dxa" w:w="80"/>
              <w:right w:type="dxa" w:w="100"/>
            </w:tcMar>
          </w:tcPr>
          <w:p>
            <w:r>
              <w:rPr>
                <w:b w:val="false"/>
                <w:bCs w:val="false"/>
                <w:color w:val="000000"/>
                <w:sz w:val="20"/>
                <w:szCs w:val="20"/>
              </w:rPr>
              <w:t xml:space="preserve">Matching accuracy</w:t>
            </w:r>
          </w:p>
        </w:tc>
        <w:tc>
          <w:tcPr>
            <w:tcW w:type="dxa" w:w="3500"/>
            <w:tcMar>
              <w:top w:type="dxa" w:w="80"/>
              <w:left w:type="dxa" w:w="100"/>
              <w:bottom w:type="dxa" w:w="80"/>
              <w:right w:type="dxa" w:w="100"/>
            </w:tcMar>
          </w:tcPr>
          <w:p>
            <w:r>
              <w:rPr>
                <w:b w:val="false"/>
                <w:bCs w:val="false"/>
                <w:color w:val="000000"/>
                <w:sz w:val="20"/>
                <w:szCs w:val="20"/>
              </w:rPr>
              <w:t xml:space="preserve">≥ 95% of transactions auto-matched correctly on a held-out labeled batch</w:t>
            </w:r>
          </w:p>
        </w:tc>
        <w:tc>
          <w:tcPr>
            <w:tcW w:type="dxa" w:w="3500"/>
            <w:tcMar>
              <w:top w:type="dxa" w:w="80"/>
              <w:left w:type="dxa" w:w="100"/>
              <w:bottom w:type="dxa" w:w="80"/>
              <w:right w:type="dxa" w:w="100"/>
            </w:tcMar>
          </w:tcPr>
          <w:p>
            <w:r>
              <w:rPr>
                <w:b w:val="false"/>
                <w:bCs w:val="false"/>
                <w:color w:val="000000"/>
                <w:sz w:val="20"/>
                <w:szCs w:val="20"/>
              </w:rPr>
              <w:t xml:space="preserve">Precision/recall against a manually verified sample</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Exception honesty</w:t>
            </w:r>
          </w:p>
        </w:tc>
        <w:tc>
          <w:tcPr>
            <w:tcW w:type="dxa" w:w="3500"/>
            <w:shd w:fill="F2F2F2" w:color="auto" w:val="clear"/>
            <w:tcMar>
              <w:top w:type="dxa" w:w="80"/>
              <w:left w:type="dxa" w:w="100"/>
              <w:bottom w:type="dxa" w:w="80"/>
              <w:right w:type="dxa" w:w="100"/>
            </w:tcMar>
          </w:tcPr>
          <w:p>
            <w:r>
              <w:rPr>
                <w:b w:val="false"/>
                <w:bCs w:val="false"/>
                <w:color w:val="000000"/>
                <w:sz w:val="20"/>
                <w:szCs w:val="20"/>
              </w:rPr>
              <w:t xml:space="preserve">100% of unmatched items surfaced, 0% silently dropped</w:t>
            </w:r>
          </w:p>
        </w:tc>
        <w:tc>
          <w:tcPr>
            <w:tcW w:type="dxa" w:w="3500"/>
            <w:shd w:fill="F2F2F2" w:color="auto" w:val="clear"/>
            <w:tcMar>
              <w:top w:type="dxa" w:w="80"/>
              <w:left w:type="dxa" w:w="100"/>
              <w:bottom w:type="dxa" w:w="80"/>
              <w:right w:type="dxa" w:w="100"/>
            </w:tcMar>
          </w:tcPr>
          <w:p>
            <w:r>
              <w:rPr>
                <w:b w:val="false"/>
                <w:bCs w:val="false"/>
                <w:color w:val="000000"/>
                <w:sz w:val="20"/>
                <w:szCs w:val="20"/>
              </w:rPr>
              <w:t xml:space="preserve">Row-count reconciliation between input and output</w:t>
            </w:r>
          </w:p>
        </w:tc>
      </w:tr>
      <w:tr>
        <w:tc>
          <w:tcPr>
            <w:tcW w:type="dxa" w:w="3000"/>
            <w:tcMar>
              <w:top w:type="dxa" w:w="80"/>
              <w:left w:type="dxa" w:w="100"/>
              <w:bottom w:type="dxa" w:w="80"/>
              <w:right w:type="dxa" w:w="100"/>
            </w:tcMar>
          </w:tcPr>
          <w:p>
            <w:r>
              <w:rPr>
                <w:b w:val="false"/>
                <w:bCs w:val="false"/>
                <w:color w:val="000000"/>
                <w:sz w:val="20"/>
                <w:szCs w:val="20"/>
              </w:rPr>
              <w:t xml:space="preserve">Stuck-payment detection latency</w:t>
            </w:r>
          </w:p>
        </w:tc>
        <w:tc>
          <w:tcPr>
            <w:tcW w:type="dxa" w:w="3500"/>
            <w:tcMar>
              <w:top w:type="dxa" w:w="80"/>
              <w:left w:type="dxa" w:w="100"/>
              <w:bottom w:type="dxa" w:w="80"/>
              <w:right w:type="dxa" w:w="100"/>
            </w:tcMar>
          </w:tcPr>
          <w:p>
            <w:r>
              <w:rPr>
                <w:b w:val="false"/>
                <w:bCs w:val="false"/>
                <w:color w:val="000000"/>
                <w:sz w:val="20"/>
                <w:szCs w:val="20"/>
              </w:rPr>
              <w:t xml:space="preserve">Detected and corrected within minutes of exceeding the expected window</w:t>
            </w:r>
          </w:p>
        </w:tc>
        <w:tc>
          <w:tcPr>
            <w:tcW w:type="dxa" w:w="3500"/>
            <w:tcMar>
              <w:top w:type="dxa" w:w="80"/>
              <w:left w:type="dxa" w:w="100"/>
              <w:bottom w:type="dxa" w:w="80"/>
              <w:right w:type="dxa" w:w="100"/>
            </w:tcMar>
          </w:tcPr>
          <w:p>
            <w:r>
              <w:rPr>
                <w:b w:val="false"/>
                <w:bCs w:val="false"/>
                <w:color w:val="000000"/>
                <w:sz w:val="20"/>
                <w:szCs w:val="20"/>
              </w:rPr>
              <w:t xml:space="preserve">Timestamp delta between expected resolution and auto-correction</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Manual reconciliation time saved</w:t>
            </w:r>
          </w:p>
        </w:tc>
        <w:tc>
          <w:tcPr>
            <w:tcW w:type="dxa" w:w="3500"/>
            <w:shd w:fill="F2F2F2" w:color="auto" w:val="clear"/>
            <w:tcMar>
              <w:top w:type="dxa" w:w="80"/>
              <w:left w:type="dxa" w:w="100"/>
              <w:bottom w:type="dxa" w:w="80"/>
              <w:right w:type="dxa" w:w="100"/>
            </w:tcMar>
          </w:tcPr>
          <w:p>
            <w:r>
              <w:rPr>
                <w:b w:val="false"/>
                <w:bCs w:val="false"/>
                <w:color w:val="000000"/>
                <w:sz w:val="20"/>
                <w:szCs w:val="20"/>
              </w:rPr>
              <w:t xml:space="preserve">Reduce a multi-hour manual settlement check to minutes</w:t>
            </w:r>
          </w:p>
        </w:tc>
        <w:tc>
          <w:tcPr>
            <w:tcW w:type="dxa" w:w="3500"/>
            <w:shd w:fill="F2F2F2" w:color="auto" w:val="clear"/>
            <w:tcMar>
              <w:top w:type="dxa" w:w="80"/>
              <w:left w:type="dxa" w:w="100"/>
              <w:bottom w:type="dxa" w:w="80"/>
              <w:right w:type="dxa" w:w="100"/>
            </w:tcMar>
          </w:tcPr>
          <w:p>
            <w:r>
              <w:rPr>
                <w:b w:val="false"/>
                <w:bCs w:val="false"/>
                <w:color w:val="000000"/>
                <w:sz w:val="20"/>
                <w:szCs w:val="20"/>
              </w:rPr>
              <w:t xml:space="preserve">Before/after time comparison on the same batch</w:t>
            </w:r>
          </w:p>
        </w:tc>
      </w:tr>
    </w:tbl>
    <w:p>
      <w:pPr>
        <w:pStyle w:val="Heading1"/>
        <w:pBdr>
          <w:bottom w:val="single" w:color="1F3864" w:sz="6" w:space="4"/>
        </w:pBdr>
        <w:spacing w:after="200" w:before="400"/>
      </w:pPr>
      <w:r>
        <w:rPr>
          <w:b/>
          <w:bCs/>
          <w:color w:val="1F3864"/>
        </w:rPr>
        <w:t xml:space="preserve">7. Business Model and Value to Razorpay</w:t>
      </w:r>
    </w:p>
    <w:p>
      <w:pPr>
        <w:pStyle w:val="ListParagraph"/>
        <w:numPr>
          <w:ilvl w:val="0"/>
          <w:numId w:val="2"/>
        </w:numPr>
        <w:spacing w:after="90"/>
      </w:pPr>
      <w:r>
        <w:rPr>
          <w:sz w:val="22"/>
          <w:szCs w:val="22"/>
        </w:rPr>
        <w:t xml:space="preserve">Positioned as a native dashboard feature rather than a third-party product competing with Razorpay.</w:t>
      </w:r>
    </w:p>
    <w:p>
      <w:pPr>
        <w:pStyle w:val="ListParagraph"/>
        <w:numPr>
          <w:ilvl w:val="0"/>
          <w:numId w:val="2"/>
        </w:numPr>
        <w:spacing w:after="90"/>
      </w:pPr>
      <w:r>
        <w:rPr>
          <w:sz w:val="22"/>
          <w:szCs w:val="22"/>
        </w:rPr>
        <w:t xml:space="preserve">Directly addresses the two complaint categories most visible in Razorpay's own public reviews: unexplained deductions and stuck/frozen orders.</w:t>
      </w:r>
    </w:p>
    <w:p>
      <w:pPr>
        <w:pStyle w:val="ListParagraph"/>
        <w:numPr>
          <w:ilvl w:val="0"/>
          <w:numId w:val="2"/>
        </w:numPr>
        <w:spacing w:after="90"/>
      </w:pPr>
      <w:r>
        <w:rPr>
          <w:sz w:val="22"/>
          <w:szCs w:val="22"/>
        </w:rPr>
        <w:t xml:space="preserve">Built entirely on data Razorpay's existing APIs already expose (Payments API, Settlements API, webhook events) — no new infrastructure required on Razorpay's side to pilot it.</w:t>
      </w:r>
    </w:p>
    <w:p>
      <w:pPr>
        <w:pStyle w:val="ListParagraph"/>
        <w:numPr>
          <w:ilvl w:val="0"/>
          <w:numId w:val="2"/>
        </w:numPr>
        <w:spacing w:after="90"/>
      </w:pPr>
      <w:r>
        <w:rPr>
          <w:sz w:val="22"/>
          <w:szCs w:val="22"/>
        </w:rPr>
        <w:t xml:space="preserve">Reduces the 44% figure cited in industry research for merchants reporting severe cash-flow impact from unexpected payment-trust issues, by surfacing problems before they escalate to support.</w:t>
      </w:r>
    </w:p>
    <w:p>
      <w:pPr>
        <w:pStyle w:val="Heading1"/>
        <w:pBdr>
          <w:bottom w:val="single" w:color="1F3864" w:sz="6" w:space="4"/>
        </w:pBdr>
        <w:spacing w:after="200" w:before="400"/>
      </w:pPr>
      <w:r>
        <w:rPr>
          <w:b/>
          <w:bCs/>
          <w:color w:val="1F3864"/>
        </w:rPr>
        <w:t xml:space="preserve">8. Assumptions and Constraints</w:t>
      </w:r>
    </w:p>
    <w:p>
      <w:pPr>
        <w:pStyle w:val="ListParagraph"/>
        <w:numPr>
          <w:ilvl w:val="0"/>
          <w:numId w:val="2"/>
        </w:numPr>
        <w:spacing w:after="90"/>
      </w:pPr>
      <w:r>
        <w:rPr>
          <w:sz w:val="22"/>
          <w:szCs w:val="22"/>
        </w:rPr>
        <w:t xml:space="preserve">Assumes access to Razorpay's sandbox/test-mode Payments and Settlements APIs for development and demonstration.</w:t>
      </w:r>
    </w:p>
    <w:p>
      <w:pPr>
        <w:pStyle w:val="ListParagraph"/>
        <w:numPr>
          <w:ilvl w:val="0"/>
          <w:numId w:val="2"/>
        </w:numPr>
        <w:spacing w:after="90"/>
      </w:pPr>
      <w:r>
        <w:rPr>
          <w:sz w:val="22"/>
          <w:szCs w:val="22"/>
        </w:rPr>
        <w:t xml:space="preserve">Assumes fee/rate-card data is available per merchant to verify deductions accurately.</w:t>
      </w:r>
    </w:p>
    <w:p>
      <w:pPr>
        <w:pStyle w:val="ListParagraph"/>
        <w:numPr>
          <w:ilvl w:val="0"/>
          <w:numId w:val="2"/>
        </w:numPr>
        <w:spacing w:after="90"/>
      </w:pPr>
      <w:r>
        <w:rPr>
          <w:sz w:val="22"/>
          <w:szCs w:val="22"/>
        </w:rPr>
        <w:t xml:space="preserve">Built as a two-day solo hackathon MVP; production hardening (scale, security review, multi-tenant isolation) is explicitly deferred to the roadmap in Section 9.</w:t>
      </w:r>
    </w:p>
    <w:p>
      <w:pPr>
        <w:pStyle w:val="ListParagraph"/>
        <w:numPr>
          <w:ilvl w:val="0"/>
          <w:numId w:val="2"/>
        </w:numPr>
        <w:spacing w:after="90"/>
      </w:pPr>
      <w:r>
        <w:rPr>
          <w:sz w:val="22"/>
          <w:szCs w:val="22"/>
        </w:rPr>
        <w:t xml:space="preserve">Does not assume access to Razorpay's internal infrastructure or the ability to fix webhook delivery at its source.</w:t>
      </w:r>
    </w:p>
    <w:p>
      <w:pPr>
        <w:pStyle w:val="Heading1"/>
        <w:pBdr>
          <w:bottom w:val="single" w:color="1F3864" w:sz="6" w:space="4"/>
        </w:pBdr>
        <w:spacing w:after="200" w:before="400"/>
      </w:pPr>
      <w:r>
        <w:rPr>
          <w:b/>
          <w:bCs/>
          <w:color w:val="1F3864"/>
        </w:rPr>
        <w:t xml:space="preserve">9.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8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Phase</w:t>
            </w:r>
          </w:p>
        </w:tc>
        <w:tc>
          <w:tcPr>
            <w:tcW w:type="dxa" w:w="4600"/>
            <w:shd w:fill="1F3864" w:color="auto" w:val="clear"/>
            <w:tcMar>
              <w:top w:type="dxa" w:w="80"/>
              <w:left w:type="dxa" w:w="100"/>
              <w:bottom w:type="dxa" w:w="80"/>
              <w:right w:type="dxa" w:w="100"/>
            </w:tcMar>
          </w:tcPr>
          <w:p>
            <w:r>
              <w:rPr>
                <w:b/>
                <w:bCs/>
                <w:color w:val="FFFFFF"/>
                <w:sz w:val="20"/>
                <w:szCs w:val="20"/>
              </w:rPr>
              <w:t xml:space="preserve">Scope</w:t>
            </w:r>
          </w:p>
        </w:tc>
        <w:tc>
          <w:tcPr>
            <w:tcW w:type="dxa" w:w="2800"/>
            <w:shd w:fill="1F3864" w:color="auto" w:val="clear"/>
            <w:tcMar>
              <w:top w:type="dxa" w:w="80"/>
              <w:left w:type="dxa" w:w="100"/>
              <w:bottom w:type="dxa" w:w="80"/>
              <w:right w:type="dxa" w:w="100"/>
            </w:tcMar>
          </w:tcPr>
          <w:p>
            <w:r>
              <w:rPr>
                <w:b/>
                <w:bCs/>
                <w:color w:val="FFFFFF"/>
                <w:sz w:val="20"/>
                <w:szCs w:val="20"/>
              </w:rPr>
              <w:t xml:space="preserve">Stack</w:t>
            </w:r>
          </w:p>
        </w:tc>
      </w:tr>
      <w:tr>
        <w:tc>
          <w:tcPr>
            <w:tcW w:type="dxa" w:w="2600"/>
            <w:tcMar>
              <w:top w:type="dxa" w:w="80"/>
              <w:left w:type="dxa" w:w="100"/>
              <w:bottom w:type="dxa" w:w="80"/>
              <w:right w:type="dxa" w:w="100"/>
            </w:tcMar>
          </w:tcPr>
          <w:p>
            <w:r>
              <w:rPr>
                <w:b w:val="false"/>
                <w:bCs w:val="false"/>
                <w:color w:val="000000"/>
                <w:sz w:val="20"/>
                <w:szCs w:val="20"/>
              </w:rPr>
              <w:t xml:space="preserve">Hackathon MVP (current)</w:t>
            </w:r>
          </w:p>
        </w:tc>
        <w:tc>
          <w:tcPr>
            <w:tcW w:type="dxa" w:w="4600"/>
            <w:tcMar>
              <w:top w:type="dxa" w:w="80"/>
              <w:left w:type="dxa" w:w="100"/>
              <w:bottom w:type="dxa" w:w="80"/>
              <w:right w:type="dxa" w:w="100"/>
            </w:tcMar>
          </w:tcPr>
          <w:p>
            <w:r>
              <w:rPr>
                <w:b w:val="false"/>
                <w:bCs w:val="false"/>
                <w:color w:val="000000"/>
                <w:sz w:val="20"/>
                <w:szCs w:val="20"/>
              </w:rPr>
              <w:t xml:space="preserve">Settlement Linkage Auditor working end-to-end on sample/sandbox data with accuracy report; Payment State Reconciler as time allows</w:t>
            </w:r>
          </w:p>
        </w:tc>
        <w:tc>
          <w:tcPr>
            <w:tcW w:type="dxa" w:w="2800"/>
            <w:tcMar>
              <w:top w:type="dxa" w:w="80"/>
              <w:left w:type="dxa" w:w="100"/>
              <w:bottom w:type="dxa" w:w="80"/>
              <w:right w:type="dxa" w:w="100"/>
            </w:tcMar>
          </w:tcPr>
          <w:p>
            <w:r>
              <w:rPr>
                <w:b w:val="false"/>
                <w:bCs w:val="false"/>
                <w:color w:val="000000"/>
                <w:sz w:val="20"/>
                <w:szCs w:val="20"/>
              </w:rPr>
              <w:t xml:space="preserve">Python, FastAPI, pandas, SQLite, Streamlit, one LLM API call for exception explanations</w:t>
            </w:r>
          </w:p>
        </w:tc>
      </w:tr>
      <w:tr>
        <w:tc>
          <w:tcPr>
            <w:tcW w:type="dxa" w:w="2600"/>
            <w:shd w:fill="F2F2F2" w:color="auto" w:val="clear"/>
            <w:tcMar>
              <w:top w:type="dxa" w:w="80"/>
              <w:left w:type="dxa" w:w="100"/>
              <w:bottom w:type="dxa" w:w="80"/>
              <w:right w:type="dxa" w:w="100"/>
            </w:tcMar>
          </w:tcPr>
          <w:p>
            <w:r>
              <w:rPr>
                <w:b w:val="false"/>
                <w:bCs w:val="false"/>
                <w:color w:val="000000"/>
                <w:sz w:val="20"/>
                <w:szCs w:val="20"/>
              </w:rPr>
              <w:t xml:space="preserve">V1 (post-hackathon)</w:t>
            </w:r>
          </w:p>
        </w:tc>
        <w:tc>
          <w:tcPr>
            <w:tcW w:type="dxa" w:w="4600"/>
            <w:shd w:fill="F2F2F2" w:color="auto" w:val="clear"/>
            <w:tcMar>
              <w:top w:type="dxa" w:w="80"/>
              <w:left w:type="dxa" w:w="100"/>
              <w:bottom w:type="dxa" w:w="80"/>
              <w:right w:type="dxa" w:w="100"/>
            </w:tcMar>
          </w:tcPr>
          <w:p>
            <w:r>
              <w:rPr>
                <w:b w:val="false"/>
                <w:bCs w:val="false"/>
                <w:color w:val="000000"/>
                <w:sz w:val="20"/>
                <w:szCs w:val="20"/>
              </w:rPr>
              <w:t xml:space="preserve">Multi-merchant support, persistent scheduling, real webhook listener</w:t>
            </w:r>
          </w:p>
        </w:tc>
        <w:tc>
          <w:tcPr>
            <w:tcW w:type="dxa" w:w="2800"/>
            <w:shd w:fill="F2F2F2" w:color="auto" w:val="clear"/>
            <w:tcMar>
              <w:top w:type="dxa" w:w="80"/>
              <w:left w:type="dxa" w:w="100"/>
              <w:bottom w:type="dxa" w:w="80"/>
              <w:right w:type="dxa" w:w="100"/>
            </w:tcMar>
          </w:tcPr>
          <w:p>
            <w:r>
              <w:rPr>
                <w:b w:val="false"/>
                <w:bCs w:val="false"/>
                <w:color w:val="000000"/>
                <w:sz w:val="20"/>
                <w:szCs w:val="20"/>
              </w:rPr>
              <w:t xml:space="preserve">Same stack, hardened with proper auth and background workers</w:t>
            </w:r>
          </w:p>
        </w:tc>
      </w:tr>
      <w:tr>
        <w:tc>
          <w:tcPr>
            <w:tcW w:type="dxa" w:w="2600"/>
            <w:tcMar>
              <w:top w:type="dxa" w:w="80"/>
              <w:left w:type="dxa" w:w="100"/>
              <w:bottom w:type="dxa" w:w="80"/>
              <w:right w:type="dxa" w:w="100"/>
            </w:tcMar>
          </w:tcPr>
          <w:p>
            <w:r>
              <w:rPr>
                <w:b w:val="false"/>
                <w:bCs w:val="false"/>
                <w:color w:val="000000"/>
                <w:sz w:val="20"/>
                <w:szCs w:val="20"/>
              </w:rPr>
              <w:t xml:space="preserve">V2 (production scale)</w:t>
            </w:r>
          </w:p>
        </w:tc>
        <w:tc>
          <w:tcPr>
            <w:tcW w:type="dxa" w:w="4600"/>
            <w:tcMar>
              <w:top w:type="dxa" w:w="80"/>
              <w:left w:type="dxa" w:w="100"/>
              <w:bottom w:type="dxa" w:w="80"/>
              <w:right w:type="dxa" w:w="100"/>
            </w:tcMar>
          </w:tcPr>
          <w:p>
            <w:r>
              <w:rPr>
                <w:b w:val="false"/>
                <w:bCs w:val="false"/>
                <w:color w:val="000000"/>
                <w:sz w:val="20"/>
                <w:szCs w:val="20"/>
              </w:rPr>
              <w:t xml:space="preserve">High-concurrency polling, durable retry workflows, full audit trail</w:t>
            </w:r>
          </w:p>
        </w:tc>
        <w:tc>
          <w:tcPr>
            <w:tcW w:type="dxa" w:w="2800"/>
            <w:tcMar>
              <w:top w:type="dxa" w:w="80"/>
              <w:left w:type="dxa" w:w="100"/>
              <w:bottom w:type="dxa" w:w="80"/>
              <w:right w:type="dxa" w:w="100"/>
            </w:tcMar>
          </w:tcPr>
          <w:p>
            <w:r>
              <w:rPr>
                <w:b w:val="false"/>
                <w:bCs w:val="false"/>
                <w:color w:val="000000"/>
                <w:sz w:val="20"/>
                <w:szCs w:val="20"/>
              </w:rPr>
              <w:t xml:space="preserve">Go backend, PostgreSQL with an append-only ledger, Redis for caching/dedup, OpenTelemetry for tracing</w:t>
            </w:r>
          </w:p>
        </w:tc>
      </w:tr>
    </w:tbl>
    <w:p>
      <w:pPr>
        <w:pStyle w:val="Heading1"/>
        <w:pBdr>
          <w:bottom w:val="single" w:color="1F3864" w:sz="6" w:space="4"/>
        </w:pBdr>
        <w:spacing w:after="200" w:before="400"/>
      </w:pPr>
      <w:r>
        <w:rPr>
          <w:b/>
          <w:bCs/>
          <w:color w:val="1F3864"/>
        </w:rPr>
        <w:t xml:space="preserve">10. Risks and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shd w:fill="1F3864" w:color="auto" w:val="clear"/>
            <w:tcMar>
              <w:top w:type="dxa" w:w="80"/>
              <w:left w:type="dxa" w:w="100"/>
              <w:bottom w:type="dxa" w:w="80"/>
              <w:right w:type="dxa" w:w="100"/>
            </w:tcMar>
          </w:tcPr>
          <w:p>
            <w:r>
              <w:rPr>
                <w:b/>
                <w:bCs/>
                <w:color w:val="FFFFFF"/>
                <w:sz w:val="20"/>
                <w:szCs w:val="20"/>
              </w:rPr>
              <w:t xml:space="preserve">Risk</w:t>
            </w:r>
          </w:p>
        </w:tc>
        <w:tc>
          <w:tcPr>
            <w:tcW w:type="dxa" w:w="5600"/>
            <w:shd w:fill="1F3864" w:color="auto" w:val="clear"/>
            <w:tcMar>
              <w:top w:type="dxa" w:w="80"/>
              <w:left w:type="dxa" w:w="100"/>
              <w:bottom w:type="dxa" w:w="80"/>
              <w:right w:type="dxa" w:w="100"/>
            </w:tcMar>
          </w:tcPr>
          <w:p>
            <w:r>
              <w:rPr>
                <w:b/>
                <w:bCs/>
                <w:color w:val="FFFFFF"/>
                <w:sz w:val="20"/>
                <w:szCs w:val="20"/>
              </w:rPr>
              <w:t xml:space="preserve">Mitigation</w:t>
            </w:r>
          </w:p>
        </w:tc>
      </w:tr>
      <w:tr>
        <w:tc>
          <w:tcPr>
            <w:tcW w:type="dxa" w:w="4400"/>
            <w:tcMar>
              <w:top w:type="dxa" w:w="80"/>
              <w:left w:type="dxa" w:w="100"/>
              <w:bottom w:type="dxa" w:w="80"/>
              <w:right w:type="dxa" w:w="100"/>
            </w:tcMar>
          </w:tcPr>
          <w:p>
            <w:r>
              <w:rPr>
                <w:b w:val="false"/>
                <w:bCs w:val="false"/>
                <w:color w:val="000000"/>
                <w:sz w:val="20"/>
                <w:szCs w:val="20"/>
              </w:rPr>
              <w:t xml:space="preserve">Sample/sandbox data may not reflect the full diversity of real fee structures</w:t>
            </w:r>
          </w:p>
        </w:tc>
        <w:tc>
          <w:tcPr>
            <w:tcW w:type="dxa" w:w="5600"/>
            <w:tcMar>
              <w:top w:type="dxa" w:w="80"/>
              <w:left w:type="dxa" w:w="100"/>
              <w:bottom w:type="dxa" w:w="80"/>
              <w:right w:type="dxa" w:w="100"/>
            </w:tcMar>
          </w:tcPr>
          <w:p>
            <w:r>
              <w:rPr>
                <w:b w:val="false"/>
                <w:bCs w:val="false"/>
                <w:color w:val="000000"/>
                <w:sz w:val="20"/>
                <w:szCs w:val="20"/>
              </w:rPr>
              <w:t xml:space="preserve">Clearly label test data provenance; report accuracy on the batch actually used, not an unqualified claim</w:t>
            </w:r>
          </w:p>
        </w:tc>
      </w:tr>
      <w:tr>
        <w:tc>
          <w:tcPr>
            <w:tcW w:type="dxa" w:w="4400"/>
            <w:shd w:fill="F2F2F2" w:color="auto" w:val="clear"/>
            <w:tcMar>
              <w:top w:type="dxa" w:w="80"/>
              <w:left w:type="dxa" w:w="100"/>
              <w:bottom w:type="dxa" w:w="80"/>
              <w:right w:type="dxa" w:w="100"/>
            </w:tcMar>
          </w:tcPr>
          <w:p>
            <w:r>
              <w:rPr>
                <w:b w:val="false"/>
                <w:bCs w:val="false"/>
                <w:color w:val="000000"/>
                <w:sz w:val="20"/>
                <w:szCs w:val="20"/>
              </w:rPr>
              <w:t xml:space="preserve">AI-generated explanations could be inconsistent or wrong</w:t>
            </w:r>
          </w:p>
        </w:tc>
        <w:tc>
          <w:tcPr>
            <w:tcW w:type="dxa" w:w="5600"/>
            <w:shd w:fill="F2F2F2" w:color="auto" w:val="clear"/>
            <w:tcMar>
              <w:top w:type="dxa" w:w="80"/>
              <w:left w:type="dxa" w:w="100"/>
              <w:bottom w:type="dxa" w:w="80"/>
              <w:right w:type="dxa" w:w="100"/>
            </w:tcMar>
          </w:tcPr>
          <w:p>
            <w:r>
              <w:rPr>
                <w:b w:val="false"/>
                <w:bCs w:val="false"/>
                <w:color w:val="000000"/>
                <w:sz w:val="20"/>
                <w:szCs w:val="20"/>
              </w:rPr>
              <w:t xml:space="preserve">AI never makes the match/no-match decision; explanations are advisory text only, reviewed by a human</w:t>
            </w:r>
          </w:p>
        </w:tc>
      </w:tr>
      <w:tr>
        <w:tc>
          <w:tcPr>
            <w:tcW w:type="dxa" w:w="4400"/>
            <w:tcMar>
              <w:top w:type="dxa" w:w="80"/>
              <w:left w:type="dxa" w:w="100"/>
              <w:bottom w:type="dxa" w:w="80"/>
              <w:right w:type="dxa" w:w="100"/>
            </w:tcMar>
          </w:tcPr>
          <w:p>
            <w:r>
              <w:rPr>
                <w:b w:val="false"/>
                <w:bCs w:val="false"/>
                <w:color w:val="000000"/>
                <w:sz w:val="20"/>
                <w:szCs w:val="20"/>
              </w:rPr>
              <w:t xml:space="preserve">Two-day solo build timeline</w:t>
            </w:r>
          </w:p>
        </w:tc>
        <w:tc>
          <w:tcPr>
            <w:tcW w:type="dxa" w:w="5600"/>
            <w:tcMar>
              <w:top w:type="dxa" w:w="80"/>
              <w:left w:type="dxa" w:w="100"/>
              <w:bottom w:type="dxa" w:w="80"/>
              <w:right w:type="dxa" w:w="100"/>
            </w:tcMar>
          </w:tcPr>
          <w:p>
            <w:r>
              <w:rPr>
                <w:b w:val="false"/>
                <w:bCs w:val="false"/>
                <w:color w:val="000000"/>
                <w:sz w:val="20"/>
                <w:szCs w:val="20"/>
              </w:rPr>
              <w:t xml:space="preserve">MVP scope is limited to Module 1 core flow first; Module 2 and dashboard polish are explicitly secondary</w:t>
            </w:r>
          </w:p>
        </w:tc>
      </w:tr>
      <w:tr>
        <w:tc>
          <w:tcPr>
            <w:tcW w:type="dxa" w:w="4400"/>
            <w:shd w:fill="F2F2F2" w:color="auto" w:val="clear"/>
            <w:tcMar>
              <w:top w:type="dxa" w:w="80"/>
              <w:left w:type="dxa" w:w="100"/>
              <w:bottom w:type="dxa" w:w="80"/>
              <w:right w:type="dxa" w:w="100"/>
            </w:tcMar>
          </w:tcPr>
          <w:p>
            <w:r>
              <w:rPr>
                <w:b w:val="false"/>
                <w:bCs w:val="false"/>
                <w:color w:val="000000"/>
                <w:sz w:val="20"/>
                <w:szCs w:val="20"/>
              </w:rPr>
              <w:t xml:space="preserve">Judges may already know of adjacent tools (Svix, Ethoca, etc.)</w:t>
            </w:r>
          </w:p>
        </w:tc>
        <w:tc>
          <w:tcPr>
            <w:tcW w:type="dxa" w:w="5600"/>
            <w:shd w:fill="F2F2F2" w:color="auto" w:val="clear"/>
            <w:tcMar>
              <w:top w:type="dxa" w:w="80"/>
              <w:left w:type="dxa" w:w="100"/>
              <w:bottom w:type="dxa" w:w="80"/>
              <w:right w:type="dxa" w:w="100"/>
            </w:tcMar>
          </w:tcPr>
          <w:p>
            <w:r>
              <w:rPr>
                <w:b w:val="false"/>
                <w:bCs w:val="false"/>
                <w:color w:val="000000"/>
                <w:sz w:val="20"/>
                <w:szCs w:val="20"/>
              </w:rPr>
              <w:t xml:space="preserve">Comparison table in Section 2.3 is presented proactively rather than left for a judge to discover</w:t>
            </w:r>
          </w:p>
        </w:tc>
      </w:tr>
    </w:tbl>
    <w:p>
      <w:pPr>
        <w:pStyle w:val="Heading1"/>
        <w:pBdr>
          <w:bottom w:val="single" w:color="1F3864" w:sz="6" w:space="4"/>
        </w:pBdr>
        <w:spacing w:after="200" w:before="400"/>
      </w:pPr>
      <w:r>
        <w:rPr>
          <w:b/>
          <w:bCs/>
          <w:color w:val="1F3864"/>
        </w:rPr>
        <w:t xml:space="preserve">11. Appendix — Evidence Citations</w:t>
      </w:r>
    </w:p>
    <w:p>
      <w:pPr>
        <w:pStyle w:val="ListParagraph"/>
        <w:numPr>
          <w:ilvl w:val="0"/>
          <w:numId w:val="2"/>
        </w:numPr>
        <w:spacing w:after="90"/>
      </w:pPr>
      <w:r>
        <w:rPr>
          <w:sz w:val="22"/>
          <w:szCs w:val="22"/>
        </w:rPr>
        <w:t xml:space="preserve">Razorpay Blog, "Settlement Transparency: The Complete Merchant Playbook for Questioning Your Payment Gateway in 2026."</w:t>
      </w:r>
    </w:p>
    <w:p>
      <w:pPr>
        <w:pStyle w:val="ListParagraph"/>
        <w:numPr>
          <w:ilvl w:val="0"/>
          <w:numId w:val="2"/>
        </w:numPr>
        <w:spacing w:after="90"/>
      </w:pPr>
      <w:r>
        <w:rPr>
          <w:sz w:val="22"/>
          <w:szCs w:val="22"/>
        </w:rPr>
        <w:t xml:space="preserve">Razorpay Docs, "Webhooks — Best Practices."</w:t>
      </w:r>
    </w:p>
    <w:p>
      <w:pPr>
        <w:pStyle w:val="ListParagraph"/>
        <w:numPr>
          <w:ilvl w:val="0"/>
          <w:numId w:val="2"/>
        </w:numPr>
        <w:spacing w:after="90"/>
      </w:pPr>
      <w:r>
        <w:rPr>
          <w:sz w:val="22"/>
          <w:szCs w:val="22"/>
        </w:rPr>
        <w:t xml:space="preserve">GitHub, razorpay/razorpay-woocommerce, Issue #571.</w:t>
      </w:r>
    </w:p>
    <w:p>
      <w:pPr>
        <w:pStyle w:val="ListParagraph"/>
        <w:numPr>
          <w:ilvl w:val="0"/>
          <w:numId w:val="2"/>
        </w:numPr>
        <w:spacing w:after="90"/>
      </w:pPr>
      <w:r>
        <w:rPr>
          <w:sz w:val="22"/>
          <w:szCs w:val="22"/>
        </w:rPr>
        <w:t xml:space="preserve">GitHub, razorpay/razorpay-magento, Issue #208.</w:t>
      </w:r>
    </w:p>
    <w:p>
      <w:pPr>
        <w:pStyle w:val="ListParagraph"/>
        <w:numPr>
          <w:ilvl w:val="0"/>
          <w:numId w:val="2"/>
        </w:numPr>
        <w:spacing w:after="90"/>
      </w:pPr>
      <w:r>
        <w:rPr>
          <w:sz w:val="22"/>
          <w:szCs w:val="22"/>
        </w:rPr>
        <w:t xml:space="preserve">Shopify Community, "Store frozen — payment still shows processing."</w:t>
      </w:r>
    </w:p>
    <w:p>
      <w:pPr>
        <w:pStyle w:val="ListParagraph"/>
        <w:numPr>
          <w:ilvl w:val="0"/>
          <w:numId w:val="2"/>
        </w:numPr>
        <w:spacing w:after="90"/>
      </w:pPr>
      <w:r>
        <w:rPr>
          <w:sz w:val="22"/>
          <w:szCs w:val="22"/>
        </w:rPr>
        <w:t xml:space="preserve">G2 and Trustpilot merchant reviews of Razorpay (aggregated complaint themes).</w:t>
      </w:r>
    </w:p>
    <w:p>
      <w:pPr>
        <w:pStyle w:val="ListParagraph"/>
        <w:numPr>
          <w:ilvl w:val="0"/>
          <w:numId w:val="2"/>
        </w:numPr>
        <w:spacing w:after="90"/>
      </w:pPr>
      <w:r>
        <w:rPr>
          <w:sz w:val="22"/>
          <w:szCs w:val="22"/>
        </w:rPr>
        <w:t xml:space="preserve">Hookdeck, "Webhook reliability incident cost benchmarks."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2026-09-01T05:59:09.479Z</dcterms:created>
  <dcterms:modified xsi:type="dcterms:W3CDTF">2026-09-01T05:59:09.479Z</dcterms:modified>
</cp:coreProperties>
</file>

<file path=docProps/custom.xml><?xml version="1.0" encoding="utf-8"?>
<Properties xmlns="http://schemas.openxmlformats.org/officeDocument/2006/custom-properties" xmlns:vt="http://schemas.openxmlformats.org/officeDocument/2006/docPropsVTypes"/>
</file>