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SettleTrace</w:t>
      </w:r>
    </w:p>
    <w:p>
      <w:pPr>
        <w:spacing w:after="400" w:before="200"/>
        <w:jc w:val="center"/>
      </w:pPr>
      <w:r>
        <w:rPr>
          <w:b/>
          <w:bCs/>
          <w:color w:val="2E74B5"/>
          <w:sz w:val="40"/>
          <w:szCs w:val="40"/>
        </w:rPr>
        <w:t xml:space="preserve">Software Requirements Specification</w:t>
      </w:r>
    </w:p>
    <w:p>
      <w:pPr>
        <w:spacing w:after="1200"/>
        <w:jc w:val="center"/>
      </w:pPr>
      <w:r>
        <w:rPr>
          <w:i/>
          <w:iCs/>
          <w:color w:val="595959"/>
          <w:sz w:val="24"/>
          <w:szCs w:val="24"/>
        </w:rPr>
        <w:t xml:space="preserve">IEEE 830-style specification for the SettleTrace platform</w:t>
      </w:r>
    </w:p>
    <w:p>
      <w:pPr>
        <w:spacing w:after="100"/>
        <w:jc w:val="center"/>
      </w:pPr>
      <w:r>
        <w:rPr>
          <w:b/>
          <w:bCs/>
          <w:color w:val="595959"/>
          <w:sz w:val="20"/>
          <w:szCs w:val="20"/>
        </w:rPr>
        <w:t xml:space="preserve">Document Type:  </w:t>
      </w:r>
      <w:r>
        <w:rPr>
          <w:color w:val="595959"/>
          <w:sz w:val="20"/>
          <w:szCs w:val="20"/>
        </w:rPr>
        <w:t xml:space="preserve">SRS</w:t>
      </w:r>
    </w:p>
    <w:p>
      <w:pPr>
        <w:spacing w:after="100"/>
        <w:jc w:val="center"/>
      </w:pPr>
      <w:r>
        <w:rPr>
          <w:b/>
          <w:bCs/>
          <w:color w:val="595959"/>
          <w:sz w:val="20"/>
          <w:szCs w:val="20"/>
        </w:rPr>
        <w:t xml:space="preserve">Track:  </w:t>
      </w:r>
      <w:r>
        <w:rPr>
          <w:color w:val="595959"/>
          <w:sz w:val="20"/>
          <w:szCs w:val="20"/>
        </w:rPr>
        <w:t xml:space="preserve">Razorpay AI Buildathon 2026 — AI Finance Controller</w:t>
      </w:r>
    </w:p>
    <w:p>
      <w:pPr>
        <w:spacing w:after="100"/>
        <w:jc w:val="center"/>
      </w:pPr>
      <w:r>
        <w:rPr>
          <w:b/>
          <w:bCs/>
          <w:color w:val="595959"/>
          <w:sz w:val="20"/>
          <w:szCs w:val="20"/>
        </w:rPr>
        <w:t xml:space="preserve">Version:  </w:t>
      </w:r>
      <w:r>
        <w:rPr>
          <w:color w:val="595959"/>
          <w:sz w:val="20"/>
          <w:szCs w:val="20"/>
        </w:rPr>
        <w:t xml:space="preserve">1.0</w:t>
      </w:r>
    </w:p>
    <w:p>
      <w:pPr>
        <w:spacing w:after="100"/>
        <w:jc w:val="center"/>
      </w:pPr>
      <w:r>
        <w:rPr>
          <w:b/>
          <w:bCs/>
          <w:color w:val="595959"/>
          <w:sz w:val="20"/>
          <w:szCs w:val="20"/>
        </w:rPr>
        <w:t xml:space="preserve">Status:  </w:t>
      </w:r>
      <w:r>
        <w:rPr>
          <w:color w:val="595959"/>
          <w:sz w:val="20"/>
          <w:szCs w:val="20"/>
        </w:rPr>
        <w:t xml:space="preserve">Draft for Submission</w:t>
      </w:r>
    </w:p>
    <w:p>
      <w:pPr>
        <w:spacing w:after="100"/>
        <w:jc w:val="center"/>
      </w:pPr>
      <w:r>
        <w:rPr>
          <w:b/>
          <w:bCs/>
          <w:color w:val="595959"/>
          <w:sz w:val="20"/>
          <w:szCs w:val="20"/>
        </w:rPr>
        <w:t xml:space="preserve">Prepared by:  </w:t>
      </w:r>
      <w:r>
        <w:rPr>
          <w:color w:val="595959"/>
          <w:sz w:val="20"/>
          <w:szCs w:val="20"/>
        </w:rPr>
        <w:t xml:space="preserve">Vica</w:t>
      </w:r>
    </w:p>
    <w:p>
      <w:r>
        <w:br w:type="page"/>
      </w:r>
    </w:p>
    <w:p>
      <w:pPr>
        <w:pStyle w:val="Heading1"/>
        <w:pBdr>
          <w:bottom w:val="single" w:color="1F3864" w:sz="6" w:space="4"/>
        </w:pBdr>
        <w:spacing w:after="200" w:before="400"/>
      </w:pPr>
      <w:r>
        <w:rPr>
          <w:b/>
          <w:bCs/>
          <w:color w:val="1F3864"/>
        </w:rPr>
        <w:t xml:space="preserve">Table of Contents</w:t>
      </w:r>
    </w:p>
    <w:p>
      <w:pPr>
        <w:pBdr>
          <w:bottom w:val="single" w:color="D9D9D9" w:sz="4" w:space="4"/>
        </w:pBdr>
        <w:spacing w:after="140"/>
      </w:pPr>
      <w:r>
        <w:rPr>
          <w:color w:val="1F3864"/>
          <w:sz w:val="24"/>
          <w:szCs w:val="24"/>
        </w:rPr>
        <w:t xml:space="preserve">1. Introduction</w:t>
      </w:r>
    </w:p>
    <w:p>
      <w:pPr>
        <w:pBdr>
          <w:bottom w:val="single" w:color="D9D9D9" w:sz="4" w:space="4"/>
        </w:pBdr>
        <w:spacing w:after="140"/>
      </w:pPr>
      <w:r>
        <w:rPr>
          <w:color w:val="1F3864"/>
          <w:sz w:val="24"/>
          <w:szCs w:val="24"/>
        </w:rPr>
        <w:t xml:space="preserve">2. Overall Description</w:t>
      </w:r>
    </w:p>
    <w:p>
      <w:pPr>
        <w:pBdr>
          <w:bottom w:val="single" w:color="D9D9D9" w:sz="4" w:space="4"/>
        </w:pBdr>
        <w:spacing w:after="140"/>
      </w:pPr>
      <w:r>
        <w:rPr>
          <w:color w:val="1F3864"/>
          <w:sz w:val="24"/>
          <w:szCs w:val="24"/>
        </w:rPr>
        <w:t xml:space="preserve">3. System Architecture</w:t>
      </w:r>
    </w:p>
    <w:p>
      <w:pPr>
        <w:pBdr>
          <w:bottom w:val="single" w:color="D9D9D9" w:sz="4" w:space="4"/>
        </w:pBdr>
        <w:spacing w:after="140"/>
      </w:pPr>
      <w:r>
        <w:rPr>
          <w:color w:val="1F3864"/>
          <w:sz w:val="24"/>
          <w:szCs w:val="24"/>
        </w:rPr>
        <w:t xml:space="preserve">4. Specific Requirements</w:t>
      </w:r>
    </w:p>
    <w:p>
      <w:pPr>
        <w:pBdr>
          <w:bottom w:val="single" w:color="D9D9D9" w:sz="4" w:space="4"/>
        </w:pBdr>
        <w:spacing w:after="140"/>
      </w:pPr>
      <w:r>
        <w:rPr>
          <w:color w:val="1F3864"/>
          <w:sz w:val="24"/>
          <w:szCs w:val="24"/>
        </w:rPr>
        <w:t xml:space="preserve">5. Data Requirements</w:t>
      </w:r>
    </w:p>
    <w:p>
      <w:pPr>
        <w:pBdr>
          <w:bottom w:val="single" w:color="D9D9D9" w:sz="4" w:space="4"/>
        </w:pBdr>
        <w:spacing w:after="140"/>
      </w:pPr>
      <w:r>
        <w:rPr>
          <w:color w:val="1F3864"/>
          <w:sz w:val="24"/>
          <w:szCs w:val="24"/>
        </w:rPr>
        <w:t xml:space="preserve">6. Other Requirements</w:t>
      </w:r>
    </w:p>
    <w:p>
      <w:pPr>
        <w:pBdr>
          <w:bottom w:val="single" w:color="D9D9D9" w:sz="4" w:space="4"/>
        </w:pBdr>
        <w:spacing w:after="140"/>
      </w:pPr>
      <w:r>
        <w:rPr>
          <w:color w:val="1F3864"/>
          <w:sz w:val="24"/>
          <w:szCs w:val="24"/>
        </w:rPr>
        <w:t xml:space="preserve">Appendix A — Requirement Traceability</w:t>
      </w:r>
    </w:p>
    <w:p>
      <w:r>
        <w:br w:type="page"/>
      </w:r>
    </w:p>
    <w:p>
      <w:pPr>
        <w:pStyle w:val="Heading1"/>
        <w:pBdr>
          <w:bottom w:val="single" w:color="1F3864" w:sz="6" w:space="4"/>
        </w:pBdr>
        <w:spacing w:after="200" w:before="400"/>
      </w:pPr>
      <w:r>
        <w:rPr>
          <w:b/>
          <w:bCs/>
          <w:color w:val="1F3864"/>
        </w:rPr>
        <w:t xml:space="preserve">1. Introduction</w:t>
      </w:r>
    </w:p>
    <w:p>
      <w:pPr>
        <w:pStyle w:val="Heading2"/>
        <w:spacing w:after="150" w:before="300"/>
      </w:pPr>
      <w:r>
        <w:rPr>
          <w:b/>
          <w:bCs/>
          <w:color w:val="2E74B5"/>
        </w:rPr>
        <w:t xml:space="preserve">1.1 Purpose</w:t>
      </w:r>
    </w:p>
    <w:p>
      <w:pPr>
        <w:spacing w:after="160" w:line="276"/>
      </w:pPr>
      <w:r>
        <w:rPr>
          <w:sz w:val="22"/>
          <w:szCs w:val="22"/>
        </w:rPr>
        <w:t xml:space="preserve">This Software Requirements Specification defines the functional and non-functional requirements for SettleTrace, a reconciliation copilot built on Razorpay's Payments and Settlements APIs. It is written to guide implementation of the hackathon MVP and to define the boundary between what is built now and what is deferred to later phases.</w:t>
      </w:r>
    </w:p>
    <w:p>
      <w:pPr>
        <w:pStyle w:val="Heading2"/>
        <w:spacing w:after="150" w:before="300"/>
      </w:pPr>
      <w:r>
        <w:rPr>
          <w:b/>
          <w:bCs/>
          <w:color w:val="2E74B5"/>
        </w:rPr>
        <w:t xml:space="preserve">1.2 Scope</w:t>
      </w:r>
    </w:p>
    <w:p>
      <w:pPr>
        <w:spacing w:after="160" w:line="276"/>
      </w:pPr>
      <w:r>
        <w:rPr>
          <w:sz w:val="22"/>
          <w:szCs w:val="22"/>
        </w:rPr>
        <w:t xml:space="preserve">SettleTrace consists of two functional modules — the Settlement Linkage Auditor and the Payment State Reconciler — plus a reporting dashboard and an AI-assisted exception-explanation layer. The system reads from Razorpay's sandbox APIs, performs deterministic reconciliation logic, and surfaces results through a web dashboard. It does not modify Razorpay's own infrastructure and does not take autonomous customer-facing action.</w:t>
      </w:r>
    </w:p>
    <w:p>
      <w:pPr>
        <w:pStyle w:val="Heading2"/>
        <w:spacing w:after="150" w:before="300"/>
      </w:pPr>
      <w:r>
        <w:rPr>
          <w:b/>
          <w:bCs/>
          <w:color w:val="2E74B5"/>
        </w:rPr>
        <w:t xml:space="preserve">1.3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tcMar>
              <w:top w:type="dxa" w:w="80"/>
              <w:left w:type="dxa" w:w="100"/>
              <w:bottom w:type="dxa" w:w="80"/>
              <w:right w:type="dxa" w:w="100"/>
            </w:tcMar>
          </w:tcPr>
          <w:p>
            <w:r>
              <w:rPr>
                <w:b/>
                <w:bCs/>
                <w:color w:val="FFFFFF"/>
                <w:sz w:val="20"/>
                <w:szCs w:val="20"/>
              </w:rPr>
              <w:t xml:space="preserve">Term</w:t>
            </w:r>
          </w:p>
        </w:tc>
        <w:tc>
          <w:tcPr>
            <w:tcW w:type="dxa" w:w="6000"/>
            <w:shd w:fill="1F3864" w:color="auto" w:val="clear"/>
            <w:tcMar>
              <w:top w:type="dxa" w:w="80"/>
              <w:left w:type="dxa" w:w="100"/>
              <w:bottom w:type="dxa" w:w="80"/>
              <w:right w:type="dxa" w:w="100"/>
            </w:tcMar>
          </w:tcPr>
          <w:p>
            <w:r>
              <w:rPr>
                <w:b/>
                <w:bCs/>
                <w:color w:val="FFFFFF"/>
                <w:sz w:val="20"/>
                <w:szCs w:val="20"/>
              </w:rPr>
              <w:t xml:space="preserve">Definition</w:t>
            </w:r>
          </w:p>
        </w:tc>
      </w:tr>
      <w:tr>
        <w:tc>
          <w:tcPr>
            <w:tcW w:type="dxa" w:w="3000"/>
            <w:tcMar>
              <w:top w:type="dxa" w:w="80"/>
              <w:left w:type="dxa" w:w="100"/>
              <w:bottom w:type="dxa" w:w="80"/>
              <w:right w:type="dxa" w:w="100"/>
            </w:tcMar>
          </w:tcPr>
          <w:p>
            <w:r>
              <w:rPr>
                <w:b w:val="false"/>
                <w:bCs w:val="false"/>
                <w:color w:val="000000"/>
                <w:sz w:val="20"/>
                <w:szCs w:val="20"/>
              </w:rPr>
              <w:t xml:space="preserve">MDR</w:t>
            </w:r>
          </w:p>
        </w:tc>
        <w:tc>
          <w:tcPr>
            <w:tcW w:type="dxa" w:w="6000"/>
            <w:tcMar>
              <w:top w:type="dxa" w:w="80"/>
              <w:left w:type="dxa" w:w="100"/>
              <w:bottom w:type="dxa" w:w="80"/>
              <w:right w:type="dxa" w:w="100"/>
            </w:tcMar>
          </w:tcPr>
          <w:p>
            <w:r>
              <w:rPr>
                <w:b w:val="false"/>
                <w:bCs w:val="false"/>
                <w:color w:val="000000"/>
                <w:sz w:val="20"/>
                <w:szCs w:val="20"/>
              </w:rPr>
              <w:t xml:space="preserve">Merchant Discount Rate — the fee percentage Razorpay charges per transaction</w:t>
            </w:r>
          </w:p>
        </w:tc>
      </w:tr>
      <w:tr>
        <w:tc>
          <w:tcPr>
            <w:tcW w:type="dxa" w:w="3000"/>
            <w:shd w:fill="F2F2F2" w:color="auto" w:val="clear"/>
            <w:tcMar>
              <w:top w:type="dxa" w:w="80"/>
              <w:left w:type="dxa" w:w="100"/>
              <w:bottom w:type="dxa" w:w="80"/>
              <w:right w:type="dxa" w:w="100"/>
            </w:tcMar>
          </w:tcPr>
          <w:p>
            <w:r>
              <w:rPr>
                <w:b w:val="false"/>
                <w:bCs w:val="false"/>
                <w:color w:val="000000"/>
                <w:sz w:val="20"/>
                <w:szCs w:val="20"/>
              </w:rPr>
              <w:t xml:space="preserve">UTR</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Unique Transaction Reference — identifier for a bank settlement transfer</w:t>
            </w:r>
          </w:p>
        </w:tc>
      </w:tr>
      <w:tr>
        <w:tc>
          <w:tcPr>
            <w:tcW w:type="dxa" w:w="3000"/>
            <w:tcMar>
              <w:top w:type="dxa" w:w="80"/>
              <w:left w:type="dxa" w:w="100"/>
              <w:bottom w:type="dxa" w:w="80"/>
              <w:right w:type="dxa" w:w="100"/>
            </w:tcMar>
          </w:tcPr>
          <w:p>
            <w:r>
              <w:rPr>
                <w:b w:val="false"/>
                <w:bCs w:val="false"/>
                <w:color w:val="000000"/>
                <w:sz w:val="20"/>
                <w:szCs w:val="20"/>
              </w:rPr>
              <w:t xml:space="preserve">Webhook</w:t>
            </w:r>
          </w:p>
        </w:tc>
        <w:tc>
          <w:tcPr>
            <w:tcW w:type="dxa" w:w="6000"/>
            <w:tcMar>
              <w:top w:type="dxa" w:w="80"/>
              <w:left w:type="dxa" w:w="100"/>
              <w:bottom w:type="dxa" w:w="80"/>
              <w:right w:type="dxa" w:w="100"/>
            </w:tcMar>
          </w:tcPr>
          <w:p>
            <w:r>
              <w:rPr>
                <w:b w:val="false"/>
                <w:bCs w:val="false"/>
                <w:color w:val="000000"/>
                <w:sz w:val="20"/>
                <w:szCs w:val="20"/>
              </w:rPr>
              <w:t xml:space="preserve">A server-to-server HTTP callback Razorpay sends to notify a merchant of a payment event</w:t>
            </w:r>
          </w:p>
        </w:tc>
      </w:tr>
      <w:tr>
        <w:tc>
          <w:tcPr>
            <w:tcW w:type="dxa" w:w="3000"/>
            <w:shd w:fill="F2F2F2" w:color="auto" w:val="clear"/>
            <w:tcMar>
              <w:top w:type="dxa" w:w="80"/>
              <w:left w:type="dxa" w:w="100"/>
              <w:bottom w:type="dxa" w:w="80"/>
              <w:right w:type="dxa" w:w="100"/>
            </w:tcMar>
          </w:tcPr>
          <w:p>
            <w:r>
              <w:rPr>
                <w:b w:val="false"/>
                <w:bCs w:val="false"/>
                <w:color w:val="000000"/>
                <w:sz w:val="20"/>
                <w:szCs w:val="20"/>
              </w:rPr>
              <w:t xml:space="preserve">Reconciliation</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The process of verifying that two independent records of the same event agree</w:t>
            </w:r>
          </w:p>
        </w:tc>
      </w:tr>
      <w:tr>
        <w:tc>
          <w:tcPr>
            <w:tcW w:type="dxa" w:w="3000"/>
            <w:tcMar>
              <w:top w:type="dxa" w:w="80"/>
              <w:left w:type="dxa" w:w="100"/>
              <w:bottom w:type="dxa" w:w="80"/>
              <w:right w:type="dxa" w:w="100"/>
            </w:tcMar>
          </w:tcPr>
          <w:p>
            <w:r>
              <w:rPr>
                <w:b w:val="false"/>
                <w:bCs w:val="false"/>
                <w:color w:val="000000"/>
                <w:sz w:val="20"/>
                <w:szCs w:val="20"/>
              </w:rPr>
              <w:t xml:space="preserve">Exception</w:t>
            </w:r>
          </w:p>
        </w:tc>
        <w:tc>
          <w:tcPr>
            <w:tcW w:type="dxa" w:w="6000"/>
            <w:tcMar>
              <w:top w:type="dxa" w:w="80"/>
              <w:left w:type="dxa" w:w="100"/>
              <w:bottom w:type="dxa" w:w="80"/>
              <w:right w:type="dxa" w:w="100"/>
            </w:tcMar>
          </w:tcPr>
          <w:p>
            <w:r>
              <w:rPr>
                <w:b w:val="false"/>
                <w:bCs w:val="false"/>
                <w:color w:val="000000"/>
                <w:sz w:val="20"/>
                <w:szCs w:val="20"/>
              </w:rPr>
              <w:t xml:space="preserve">A record the system could not automatically reconcile with confidence</w:t>
            </w:r>
          </w:p>
        </w:tc>
      </w:tr>
      <w:tr>
        <w:tc>
          <w:tcPr>
            <w:tcW w:type="dxa" w:w="3000"/>
            <w:shd w:fill="F2F2F2" w:color="auto" w:val="clear"/>
            <w:tcMar>
              <w:top w:type="dxa" w:w="80"/>
              <w:left w:type="dxa" w:w="100"/>
              <w:bottom w:type="dxa" w:w="80"/>
              <w:right w:type="dxa" w:w="100"/>
            </w:tcMar>
          </w:tcPr>
          <w:p>
            <w:r>
              <w:rPr>
                <w:b w:val="false"/>
                <w:bCs w:val="false"/>
                <w:color w:val="000000"/>
                <w:sz w:val="20"/>
                <w:szCs w:val="20"/>
              </w:rPr>
              <w:t xml:space="preserve">Idempotency key</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A unique identifier (Razorpay's x-razorpay-event-id) used to detect and discard duplicate events</w:t>
            </w:r>
          </w:p>
        </w:tc>
      </w:tr>
    </w:tbl>
    <w:p>
      <w:pPr>
        <w:pStyle w:val="Heading2"/>
        <w:spacing w:after="150" w:before="300"/>
      </w:pPr>
      <w:r>
        <w:rPr>
          <w:b/>
          <w:bCs/>
          <w:color w:val="2E74B5"/>
        </w:rPr>
        <w:t xml:space="preserve">1.4 References</w:t>
      </w:r>
    </w:p>
    <w:p>
      <w:pPr>
        <w:pStyle w:val="ListParagraph"/>
        <w:numPr>
          <w:ilvl w:val="0"/>
          <w:numId w:val="2"/>
        </w:numPr>
        <w:spacing w:after="90"/>
      </w:pPr>
      <w:r>
        <w:rPr>
          <w:sz w:val="22"/>
          <w:szCs w:val="22"/>
        </w:rPr>
        <w:t xml:space="preserve">Razorpay API Documentation — Payments, Settlements, Webhooks.</w:t>
      </w:r>
    </w:p>
    <w:p>
      <w:pPr>
        <w:pStyle w:val="ListParagraph"/>
        <w:numPr>
          <w:ilvl w:val="0"/>
          <w:numId w:val="2"/>
        </w:numPr>
        <w:spacing w:after="90"/>
      </w:pPr>
      <w:r>
        <w:rPr>
          <w:sz w:val="22"/>
          <w:szCs w:val="22"/>
        </w:rPr>
        <w:t xml:space="preserve">Razorpay Blog — "Settlement Transparency" (2026).</w:t>
      </w:r>
    </w:p>
    <w:p>
      <w:pPr>
        <w:pStyle w:val="ListParagraph"/>
        <w:numPr>
          <w:ilvl w:val="0"/>
          <w:numId w:val="2"/>
        </w:numPr>
        <w:spacing w:after="90"/>
      </w:pPr>
      <w:r>
        <w:rPr>
          <w:sz w:val="22"/>
          <w:szCs w:val="22"/>
        </w:rPr>
        <w:t xml:space="preserve">SettleTrace Product Requirements Document, v1.0.</w:t>
      </w:r>
    </w:p>
    <w:p>
      <w:pPr>
        <w:pStyle w:val="ListParagraph"/>
        <w:numPr>
          <w:ilvl w:val="0"/>
          <w:numId w:val="2"/>
        </w:numPr>
        <w:spacing w:after="90"/>
      </w:pPr>
      <w:r>
        <w:rPr>
          <w:sz w:val="22"/>
          <w:szCs w:val="22"/>
        </w:rPr>
        <w:t xml:space="preserve">SettleTrace Functional Requirements Specification, v1.0.</w:t>
      </w:r>
    </w:p>
    <w:p>
      <w:pPr>
        <w:pStyle w:val="Heading2"/>
        <w:spacing w:after="150" w:before="300"/>
      </w:pPr>
      <w:r>
        <w:rPr>
          <w:b/>
          <w:bCs/>
          <w:color w:val="2E74B5"/>
        </w:rPr>
        <w:t xml:space="preserve">1.5 Overview</w:t>
      </w:r>
    </w:p>
    <w:p>
      <w:pPr>
        <w:spacing w:after="160" w:line="276"/>
      </w:pPr>
      <w:r>
        <w:rPr>
          <w:sz w:val="22"/>
          <w:szCs w:val="22"/>
        </w:rPr>
        <w:t xml:space="preserve">Section 2 describes the product from a system perspective. Section 3 describes the architecture. Section 4 lists specific interface, functional summary, and non-functional requirements. Section 5 defines the data model. Section 6 covers compliance and other requirements.</w:t>
      </w:r>
    </w:p>
    <w:p>
      <w:pPr>
        <w:pStyle w:val="Heading1"/>
        <w:pBdr>
          <w:bottom w:val="single" w:color="1F3864" w:sz="6" w:space="4"/>
        </w:pBdr>
        <w:spacing w:after="200" w:before="400"/>
      </w:pPr>
      <w:r>
        <w:rPr>
          <w:b/>
          <w:bCs/>
          <w:color w:val="1F3864"/>
        </w:rPr>
        <w:t xml:space="preserve">2. Overall Description</w:t>
      </w:r>
    </w:p>
    <w:p>
      <w:pPr>
        <w:pStyle w:val="Heading2"/>
        <w:spacing w:after="150" w:before="300"/>
      </w:pPr>
      <w:r>
        <w:rPr>
          <w:b/>
          <w:bCs/>
          <w:color w:val="2E74B5"/>
        </w:rPr>
        <w:t xml:space="preserve">2.1 Product Perspective</w:t>
      </w:r>
    </w:p>
    <w:p>
      <w:pPr>
        <w:spacing w:after="160" w:line="276"/>
      </w:pPr>
      <w:r>
        <w:rPr>
          <w:sz w:val="22"/>
          <w:szCs w:val="22"/>
        </w:rPr>
        <w:t xml:space="preserve">SettleTrace is a standalone add-on system that reads from Razorpay's public APIs; it is not a modification of Razorpay's core payment processing. In production it is envisioned as a feature embedded in Razorpay's merchant dashboard, but the MVP runs as an independent application against sandbox data.</w:t>
      </w:r>
    </w:p>
    <w:p>
      <w:pPr>
        <w:pStyle w:val="Heading2"/>
        <w:spacing w:after="150" w:before="300"/>
      </w:pPr>
      <w:r>
        <w:rPr>
          <w:b/>
          <w:bCs/>
          <w:color w:val="2E74B5"/>
        </w:rPr>
        <w:t xml:space="preserve">2.2 Product Functions (summary)</w:t>
      </w:r>
    </w:p>
    <w:p>
      <w:pPr>
        <w:pStyle w:val="ListParagraph"/>
        <w:numPr>
          <w:ilvl w:val="0"/>
          <w:numId w:val="2"/>
        </w:numPr>
        <w:spacing w:after="90"/>
      </w:pPr>
      <w:r>
        <w:rPr>
          <w:sz w:val="22"/>
          <w:szCs w:val="22"/>
        </w:rPr>
        <w:t xml:space="preserve">Ingest settlement reports and transaction-level payment data.</w:t>
      </w:r>
    </w:p>
    <w:p>
      <w:pPr>
        <w:pStyle w:val="ListParagraph"/>
        <w:numPr>
          <w:ilvl w:val="0"/>
          <w:numId w:val="2"/>
        </w:numPr>
        <w:spacing w:after="90"/>
      </w:pPr>
      <w:r>
        <w:rPr>
          <w:sz w:val="22"/>
          <w:szCs w:val="22"/>
        </w:rPr>
        <w:t xml:space="preserve">Reconstruct and verify the composition of each settlement.</w:t>
      </w:r>
    </w:p>
    <w:p>
      <w:pPr>
        <w:pStyle w:val="ListParagraph"/>
        <w:numPr>
          <w:ilvl w:val="0"/>
          <w:numId w:val="2"/>
        </w:numPr>
        <w:spacing w:after="90"/>
      </w:pPr>
      <w:r>
        <w:rPr>
          <w:sz w:val="22"/>
          <w:szCs w:val="22"/>
        </w:rPr>
        <w:t xml:space="preserve">Detect and flag reconciliation exceptions with a reason code.</w:t>
      </w:r>
    </w:p>
    <w:p>
      <w:pPr>
        <w:pStyle w:val="ListParagraph"/>
        <w:numPr>
          <w:ilvl w:val="0"/>
          <w:numId w:val="2"/>
        </w:numPr>
        <w:spacing w:after="90"/>
      </w:pPr>
      <w:r>
        <w:rPr>
          <w:sz w:val="22"/>
          <w:szCs w:val="22"/>
        </w:rPr>
        <w:t xml:space="preserve">Detect orders stuck in a non-terminal payment state beyond an expected window.</w:t>
      </w:r>
    </w:p>
    <w:p>
      <w:pPr>
        <w:pStyle w:val="ListParagraph"/>
        <w:numPr>
          <w:ilvl w:val="0"/>
          <w:numId w:val="2"/>
        </w:numPr>
        <w:spacing w:after="90"/>
      </w:pPr>
      <w:r>
        <w:rPr>
          <w:sz w:val="22"/>
          <w:szCs w:val="22"/>
        </w:rPr>
        <w:t xml:space="preserve">Poll Razorpay's API for ground truth and correct the local order record.</w:t>
      </w:r>
    </w:p>
    <w:p>
      <w:pPr>
        <w:pStyle w:val="ListParagraph"/>
        <w:numPr>
          <w:ilvl w:val="0"/>
          <w:numId w:val="2"/>
        </w:numPr>
        <w:spacing w:after="90"/>
      </w:pPr>
      <w:r>
        <w:rPr>
          <w:sz w:val="22"/>
          <w:szCs w:val="22"/>
        </w:rPr>
        <w:t xml:space="preserve">Generate a plain-language explanation for each exception using an LLM.</w:t>
      </w:r>
    </w:p>
    <w:p>
      <w:pPr>
        <w:pStyle w:val="ListParagraph"/>
        <w:numPr>
          <w:ilvl w:val="0"/>
          <w:numId w:val="2"/>
        </w:numPr>
        <w:spacing w:after="90"/>
      </w:pPr>
      <w:r>
        <w:rPr>
          <w:sz w:val="22"/>
          <w:szCs w:val="22"/>
        </w:rPr>
        <w:t xml:space="preserve">Present throughput, accuracy, and the exception list on a dashboard.</w:t>
      </w:r>
    </w:p>
    <w:p>
      <w:pPr>
        <w:pStyle w:val="Heading2"/>
        <w:spacing w:after="150" w:before="300"/>
      </w:pPr>
      <w:r>
        <w:rPr>
          <w:b/>
          <w:bCs/>
          <w:color w:val="2E74B5"/>
        </w:rPr>
        <w:t xml:space="preserve">2.3 User Characteristics</w:t>
      </w:r>
    </w:p>
    <w:p>
      <w:pPr>
        <w:spacing w:after="160" w:line="276"/>
      </w:pPr>
      <w:r>
        <w:rPr>
          <w:sz w:val="22"/>
          <w:szCs w:val="22"/>
        </w:rPr>
        <w:t xml:space="preserve">Primary users are non-technical or semi-technical merchant finance/operations staff who need clear pass/fail signals rather than raw data; a secondary technical user (developer/integrator) configures API credentials and reviews exceptions requiring engineering judgement.</w:t>
      </w:r>
    </w:p>
    <w:p>
      <w:pPr>
        <w:pStyle w:val="Heading2"/>
        <w:spacing w:after="150" w:before="300"/>
      </w:pPr>
      <w:r>
        <w:rPr>
          <w:b/>
          <w:bCs/>
          <w:color w:val="2E74B5"/>
        </w:rPr>
        <w:t xml:space="preserve">2.4 Constraints</w:t>
      </w:r>
    </w:p>
    <w:p>
      <w:pPr>
        <w:pStyle w:val="ListParagraph"/>
        <w:numPr>
          <w:ilvl w:val="0"/>
          <w:numId w:val="2"/>
        </w:numPr>
        <w:spacing w:after="90"/>
      </w:pPr>
      <w:r>
        <w:rPr>
          <w:sz w:val="22"/>
          <w:szCs w:val="22"/>
        </w:rPr>
        <w:t xml:space="preserve">Two-day solo development timeline for the hackathon MVP.</w:t>
      </w:r>
    </w:p>
    <w:p>
      <w:pPr>
        <w:pStyle w:val="ListParagraph"/>
        <w:numPr>
          <w:ilvl w:val="0"/>
          <w:numId w:val="2"/>
        </w:numPr>
        <w:spacing w:after="90"/>
      </w:pPr>
      <w:r>
        <w:rPr>
          <w:sz w:val="22"/>
          <w:szCs w:val="22"/>
        </w:rPr>
        <w:t xml:space="preserve">Dependent on Razorpay sandbox/test-mode data availability and API rate limits.</w:t>
      </w:r>
    </w:p>
    <w:p>
      <w:pPr>
        <w:pStyle w:val="ListParagraph"/>
        <w:numPr>
          <w:ilvl w:val="0"/>
          <w:numId w:val="2"/>
        </w:numPr>
        <w:spacing w:after="90"/>
      </w:pPr>
      <w:r>
        <w:rPr>
          <w:sz w:val="22"/>
          <w:szCs w:val="22"/>
        </w:rPr>
        <w:t xml:space="preserve">Single-tenant design for the MVP; no multi-merchant isolation is implemented at this stage.</w:t>
      </w:r>
    </w:p>
    <w:p>
      <w:pPr>
        <w:pStyle w:val="Heading2"/>
        <w:spacing w:after="150" w:before="300"/>
      </w:pPr>
      <w:r>
        <w:rPr>
          <w:b/>
          <w:bCs/>
          <w:color w:val="2E74B5"/>
        </w:rPr>
        <w:t xml:space="preserve">2.5 Assumptions and Dependencies</w:t>
      </w:r>
    </w:p>
    <w:p>
      <w:pPr>
        <w:pStyle w:val="ListParagraph"/>
        <w:numPr>
          <w:ilvl w:val="0"/>
          <w:numId w:val="2"/>
        </w:numPr>
        <w:spacing w:after="90"/>
      </w:pPr>
      <w:r>
        <w:rPr>
          <w:sz w:val="22"/>
          <w:szCs w:val="22"/>
        </w:rPr>
        <w:t xml:space="preserve">Razorpay's Payments and Settlements APIs remain available and stable during development.</w:t>
      </w:r>
    </w:p>
    <w:p>
      <w:pPr>
        <w:pStyle w:val="ListParagraph"/>
        <w:numPr>
          <w:ilvl w:val="0"/>
          <w:numId w:val="2"/>
        </w:numPr>
        <w:spacing w:after="90"/>
      </w:pPr>
      <w:r>
        <w:rPr>
          <w:sz w:val="22"/>
          <w:szCs w:val="22"/>
        </w:rPr>
        <w:t xml:space="preserve">An LLM API (e.g., Claude or GPT) is reachable over the network for the explanation layer.</w:t>
      </w:r>
    </w:p>
    <w:p>
      <w:pPr>
        <w:pStyle w:val="ListParagraph"/>
        <w:numPr>
          <w:ilvl w:val="0"/>
          <w:numId w:val="2"/>
        </w:numPr>
        <w:spacing w:after="90"/>
      </w:pPr>
      <w:r>
        <w:rPr>
          <w:sz w:val="22"/>
          <w:szCs w:val="22"/>
        </w:rPr>
        <w:t xml:space="preserve">Sample or sandbox transaction and settlement data is representative enough to produce a meaningful accuracy measurement.</w:t>
      </w:r>
    </w:p>
    <w:p>
      <w:pPr>
        <w:pStyle w:val="Heading1"/>
        <w:pBdr>
          <w:bottom w:val="single" w:color="1F3864" w:sz="6" w:space="4"/>
        </w:pBdr>
        <w:spacing w:after="200" w:before="400"/>
      </w:pPr>
      <w:r>
        <w:rPr>
          <w:b/>
          <w:bCs/>
          <w:color w:val="1F3864"/>
        </w:rPr>
        <w:t xml:space="preserve">3. System Architecture</w:t>
      </w:r>
    </w:p>
    <w:p>
      <w:pPr>
        <w:pStyle w:val="Heading2"/>
        <w:spacing w:after="150" w:before="300"/>
      </w:pPr>
      <w:r>
        <w:rPr>
          <w:b/>
          <w:bCs/>
          <w:color w:val="2E74B5"/>
        </w:rPr>
        <w:t xml:space="preserve">3.1 Architecture Overview</w:t>
      </w:r>
    </w:p>
    <w:p>
      <w:pPr>
        <w:spacing w:after="160" w:line="276"/>
      </w:pPr>
      <w:r>
        <w:rPr>
          <w:sz w:val="22"/>
          <w:szCs w:val="22"/>
        </w:rPr>
        <w:t xml:space="preserve">The MVP uses a single FastAPI application as the system's backbone. It exposes REST endpoints consumed by a Streamlit dashboard. A pandas-based reconciliation engine performs the core matching logic against data pulled from Razorpay's Python SDK. Results are persisted to a local SQLite database. An asynchronous call to an LLM API produces plain-language exception explanations after the deterministic matching step has already completed, so the explanation layer can never alter a reconciliation outcome.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Layer</w:t>
            </w:r>
          </w:p>
        </w:tc>
        <w:tc>
          <w:tcPr>
            <w:tcW w:type="dxa" w:w="3200"/>
            <w:shd w:fill="1F3864" w:color="auto" w:val="clear"/>
            <w:tcMar>
              <w:top w:type="dxa" w:w="80"/>
              <w:left w:type="dxa" w:w="100"/>
              <w:bottom w:type="dxa" w:w="80"/>
              <w:right w:type="dxa" w:w="100"/>
            </w:tcMar>
          </w:tcPr>
          <w:p>
            <w:r>
              <w:rPr>
                <w:b/>
                <w:bCs/>
                <w:color w:val="FFFFFF"/>
                <w:sz w:val="20"/>
                <w:szCs w:val="20"/>
              </w:rPr>
              <w:t xml:space="preserve">Component</w:t>
            </w:r>
          </w:p>
        </w:tc>
        <w:tc>
          <w:tcPr>
            <w:tcW w:type="dxa" w:w="3600"/>
            <w:shd w:fill="1F3864" w:color="auto" w:val="clear"/>
            <w:tcMar>
              <w:top w:type="dxa" w:w="80"/>
              <w:left w:type="dxa" w:w="100"/>
              <w:bottom w:type="dxa" w:w="80"/>
              <w:right w:type="dxa" w:w="100"/>
            </w:tcMar>
          </w:tcPr>
          <w:p>
            <w:r>
              <w:rPr>
                <w:b/>
                <w:bCs/>
                <w:color w:val="FFFFFF"/>
                <w:sz w:val="20"/>
                <w:szCs w:val="20"/>
              </w:rPr>
              <w:t xml:space="preserve">Responsibility</w:t>
            </w:r>
          </w:p>
        </w:tc>
      </w:tr>
      <w:tr>
        <w:tc>
          <w:tcPr>
            <w:tcW w:type="dxa" w:w="2200"/>
            <w:tcMar>
              <w:top w:type="dxa" w:w="80"/>
              <w:left w:type="dxa" w:w="100"/>
              <w:bottom w:type="dxa" w:w="80"/>
              <w:right w:type="dxa" w:w="100"/>
            </w:tcMar>
          </w:tcPr>
          <w:p>
            <w:r>
              <w:rPr>
                <w:b w:val="false"/>
                <w:bCs w:val="false"/>
                <w:color w:val="000000"/>
                <w:sz w:val="20"/>
                <w:szCs w:val="20"/>
              </w:rPr>
              <w:t xml:space="preserve">Presentation</w:t>
            </w:r>
          </w:p>
        </w:tc>
        <w:tc>
          <w:tcPr>
            <w:tcW w:type="dxa" w:w="3200"/>
            <w:tcMar>
              <w:top w:type="dxa" w:w="80"/>
              <w:left w:type="dxa" w:w="100"/>
              <w:bottom w:type="dxa" w:w="80"/>
              <w:right w:type="dxa" w:w="100"/>
            </w:tcMar>
          </w:tcPr>
          <w:p>
            <w:r>
              <w:rPr>
                <w:b w:val="false"/>
                <w:bCs w:val="false"/>
                <w:color w:val="000000"/>
                <w:sz w:val="20"/>
                <w:szCs w:val="20"/>
              </w:rPr>
              <w:t xml:space="preserve">Streamlit dashboard</w:t>
            </w:r>
          </w:p>
        </w:tc>
        <w:tc>
          <w:tcPr>
            <w:tcW w:type="dxa" w:w="3600"/>
            <w:tcMar>
              <w:top w:type="dxa" w:w="80"/>
              <w:left w:type="dxa" w:w="100"/>
              <w:bottom w:type="dxa" w:w="80"/>
              <w:right w:type="dxa" w:w="100"/>
            </w:tcMar>
          </w:tcPr>
          <w:p>
            <w:r>
              <w:rPr>
                <w:b w:val="false"/>
                <w:bCs w:val="false"/>
                <w:color w:val="000000"/>
                <w:sz w:val="20"/>
                <w:szCs w:val="20"/>
              </w:rPr>
              <w:t xml:space="preserve">Displays throughput, accuracy, and exception list; supports filtering</w:t>
            </w:r>
          </w:p>
        </w:tc>
      </w:tr>
      <w:tr>
        <w:tc>
          <w:tcPr>
            <w:tcW w:type="dxa" w:w="2200"/>
            <w:shd w:fill="F2F2F2" w:color="auto" w:val="clear"/>
            <w:tcMar>
              <w:top w:type="dxa" w:w="80"/>
              <w:left w:type="dxa" w:w="100"/>
              <w:bottom w:type="dxa" w:w="80"/>
              <w:right w:type="dxa" w:w="100"/>
            </w:tcMar>
          </w:tcPr>
          <w:p>
            <w:r>
              <w:rPr>
                <w:b w:val="false"/>
                <w:bCs w:val="false"/>
                <w:color w:val="000000"/>
                <w:sz w:val="20"/>
                <w:szCs w:val="20"/>
              </w:rPr>
              <w:t xml:space="preserve">Application</w:t>
            </w:r>
          </w:p>
        </w:tc>
        <w:tc>
          <w:tcPr>
            <w:tcW w:type="dxa" w:w="3200"/>
            <w:shd w:fill="F2F2F2" w:color="auto" w:val="clear"/>
            <w:tcMar>
              <w:top w:type="dxa" w:w="80"/>
              <w:left w:type="dxa" w:w="100"/>
              <w:bottom w:type="dxa" w:w="80"/>
              <w:right w:type="dxa" w:w="100"/>
            </w:tcMar>
          </w:tcPr>
          <w:p>
            <w:r>
              <w:rPr>
                <w:b w:val="false"/>
                <w:bCs w:val="false"/>
                <w:color w:val="000000"/>
                <w:sz w:val="20"/>
                <w:szCs w:val="20"/>
              </w:rPr>
              <w:t xml:space="preserve">FastAPI service</w:t>
            </w:r>
          </w:p>
        </w:tc>
        <w:tc>
          <w:tcPr>
            <w:tcW w:type="dxa" w:w="3600"/>
            <w:shd w:fill="F2F2F2" w:color="auto" w:val="clear"/>
            <w:tcMar>
              <w:top w:type="dxa" w:w="80"/>
              <w:left w:type="dxa" w:w="100"/>
              <w:bottom w:type="dxa" w:w="80"/>
              <w:right w:type="dxa" w:w="100"/>
            </w:tcMar>
          </w:tcPr>
          <w:p>
            <w:r>
              <w:rPr>
                <w:b w:val="false"/>
                <w:bCs w:val="false"/>
                <w:color w:val="000000"/>
                <w:sz w:val="20"/>
                <w:szCs w:val="20"/>
              </w:rPr>
              <w:t xml:space="preserve">Orchestrates data ingestion, exposes REST endpoints, schedules re-checks</w:t>
            </w:r>
          </w:p>
        </w:tc>
      </w:tr>
      <w:tr>
        <w:tc>
          <w:tcPr>
            <w:tcW w:type="dxa" w:w="2200"/>
            <w:tcMar>
              <w:top w:type="dxa" w:w="80"/>
              <w:left w:type="dxa" w:w="100"/>
              <w:bottom w:type="dxa" w:w="80"/>
              <w:right w:type="dxa" w:w="100"/>
            </w:tcMar>
          </w:tcPr>
          <w:p>
            <w:r>
              <w:rPr>
                <w:b w:val="false"/>
                <w:bCs w:val="false"/>
                <w:color w:val="000000"/>
                <w:sz w:val="20"/>
                <w:szCs w:val="20"/>
              </w:rPr>
              <w:t xml:space="preserve">Domain logic</w:t>
            </w:r>
          </w:p>
        </w:tc>
        <w:tc>
          <w:tcPr>
            <w:tcW w:type="dxa" w:w="3200"/>
            <w:tcMar>
              <w:top w:type="dxa" w:w="80"/>
              <w:left w:type="dxa" w:w="100"/>
              <w:bottom w:type="dxa" w:w="80"/>
              <w:right w:type="dxa" w:w="100"/>
            </w:tcMar>
          </w:tcPr>
          <w:p>
            <w:r>
              <w:rPr>
                <w:b w:val="false"/>
                <w:bCs w:val="false"/>
                <w:color w:val="000000"/>
                <w:sz w:val="20"/>
                <w:szCs w:val="20"/>
              </w:rPr>
              <w:t xml:space="preserve">pandas reconciliation engine</w:t>
            </w:r>
          </w:p>
        </w:tc>
        <w:tc>
          <w:tcPr>
            <w:tcW w:type="dxa" w:w="3600"/>
            <w:tcMar>
              <w:top w:type="dxa" w:w="80"/>
              <w:left w:type="dxa" w:w="100"/>
              <w:bottom w:type="dxa" w:w="80"/>
              <w:right w:type="dxa" w:w="100"/>
            </w:tcMar>
          </w:tcPr>
          <w:p>
            <w:r>
              <w:rPr>
                <w:b w:val="false"/>
                <w:bCs w:val="false"/>
                <w:color w:val="000000"/>
                <w:sz w:val="20"/>
                <w:szCs w:val="20"/>
              </w:rPr>
              <w:t xml:space="preserve">Deterministic matching, fee verification, exception classification</w:t>
            </w:r>
          </w:p>
        </w:tc>
      </w:tr>
      <w:tr>
        <w:tc>
          <w:tcPr>
            <w:tcW w:type="dxa" w:w="2200"/>
            <w:shd w:fill="F2F2F2" w:color="auto" w:val="clear"/>
            <w:tcMar>
              <w:top w:type="dxa" w:w="80"/>
              <w:left w:type="dxa" w:w="100"/>
              <w:bottom w:type="dxa" w:w="80"/>
              <w:right w:type="dxa" w:w="100"/>
            </w:tcMar>
          </w:tcPr>
          <w:p>
            <w:r>
              <w:rPr>
                <w:b w:val="false"/>
                <w:bCs w:val="false"/>
                <w:color w:val="000000"/>
                <w:sz w:val="20"/>
                <w:szCs w:val="20"/>
              </w:rPr>
              <w:t xml:space="preserve">AI layer</w:t>
            </w:r>
          </w:p>
        </w:tc>
        <w:tc>
          <w:tcPr>
            <w:tcW w:type="dxa" w:w="3200"/>
            <w:shd w:fill="F2F2F2" w:color="auto" w:val="clear"/>
            <w:tcMar>
              <w:top w:type="dxa" w:w="80"/>
              <w:left w:type="dxa" w:w="100"/>
              <w:bottom w:type="dxa" w:w="80"/>
              <w:right w:type="dxa" w:w="100"/>
            </w:tcMar>
          </w:tcPr>
          <w:p>
            <w:r>
              <w:rPr>
                <w:b w:val="false"/>
                <w:bCs w:val="false"/>
                <w:color w:val="000000"/>
                <w:sz w:val="20"/>
                <w:szCs w:val="20"/>
              </w:rPr>
              <w:t xml:space="preserve">LLM API client</w:t>
            </w:r>
          </w:p>
        </w:tc>
        <w:tc>
          <w:tcPr>
            <w:tcW w:type="dxa" w:w="3600"/>
            <w:shd w:fill="F2F2F2" w:color="auto" w:val="clear"/>
            <w:tcMar>
              <w:top w:type="dxa" w:w="80"/>
              <w:left w:type="dxa" w:w="100"/>
              <w:bottom w:type="dxa" w:w="80"/>
              <w:right w:type="dxa" w:w="100"/>
            </w:tcMar>
          </w:tcPr>
          <w:p>
            <w:r>
              <w:rPr>
                <w:b w:val="false"/>
                <w:bCs w:val="false"/>
                <w:color w:val="000000"/>
                <w:sz w:val="20"/>
                <w:szCs w:val="20"/>
              </w:rPr>
              <w:t xml:space="preserve">Generates plain-language exception explanations and impact ranking (advisory only)</w:t>
            </w:r>
          </w:p>
        </w:tc>
      </w:tr>
      <w:tr>
        <w:tc>
          <w:tcPr>
            <w:tcW w:type="dxa" w:w="2200"/>
            <w:tcMar>
              <w:top w:type="dxa" w:w="80"/>
              <w:left w:type="dxa" w:w="100"/>
              <w:bottom w:type="dxa" w:w="80"/>
              <w:right w:type="dxa" w:w="100"/>
            </w:tcMar>
          </w:tcPr>
          <w:p>
            <w:r>
              <w:rPr>
                <w:b w:val="false"/>
                <w:bCs w:val="false"/>
                <w:color w:val="000000"/>
                <w:sz w:val="20"/>
                <w:szCs w:val="20"/>
              </w:rPr>
              <w:t xml:space="preserve">Data</w:t>
            </w:r>
          </w:p>
        </w:tc>
        <w:tc>
          <w:tcPr>
            <w:tcW w:type="dxa" w:w="3200"/>
            <w:tcMar>
              <w:top w:type="dxa" w:w="80"/>
              <w:left w:type="dxa" w:w="100"/>
              <w:bottom w:type="dxa" w:w="80"/>
              <w:right w:type="dxa" w:w="100"/>
            </w:tcMar>
          </w:tcPr>
          <w:p>
            <w:r>
              <w:rPr>
                <w:b w:val="false"/>
                <w:bCs w:val="false"/>
                <w:color w:val="000000"/>
                <w:sz w:val="20"/>
                <w:szCs w:val="20"/>
              </w:rPr>
              <w:t xml:space="preserve">SQLite</w:t>
            </w:r>
          </w:p>
        </w:tc>
        <w:tc>
          <w:tcPr>
            <w:tcW w:type="dxa" w:w="3600"/>
            <w:tcMar>
              <w:top w:type="dxa" w:w="80"/>
              <w:left w:type="dxa" w:w="100"/>
              <w:bottom w:type="dxa" w:w="80"/>
              <w:right w:type="dxa" w:w="100"/>
            </w:tcMar>
          </w:tcPr>
          <w:p>
            <w:r>
              <w:rPr>
                <w:b w:val="false"/>
                <w:bCs w:val="false"/>
                <w:color w:val="000000"/>
                <w:sz w:val="20"/>
                <w:szCs w:val="20"/>
              </w:rPr>
              <w:t xml:space="preserve">Stores transactions, settlements, matches, and exceptions</w:t>
            </w:r>
          </w:p>
        </w:tc>
      </w:tr>
      <w:tr>
        <w:tc>
          <w:tcPr>
            <w:tcW w:type="dxa" w:w="2200"/>
            <w:shd w:fill="F2F2F2" w:color="auto" w:val="clear"/>
            <w:tcMar>
              <w:top w:type="dxa" w:w="80"/>
              <w:left w:type="dxa" w:w="100"/>
              <w:bottom w:type="dxa" w:w="80"/>
              <w:right w:type="dxa" w:w="100"/>
            </w:tcMar>
          </w:tcPr>
          <w:p>
            <w:r>
              <w:rPr>
                <w:b w:val="false"/>
                <w:bCs w:val="false"/>
                <w:color w:val="000000"/>
                <w:sz w:val="20"/>
                <w:szCs w:val="20"/>
              </w:rPr>
              <w:t xml:space="preserve">External</w:t>
            </w:r>
          </w:p>
        </w:tc>
        <w:tc>
          <w:tcPr>
            <w:tcW w:type="dxa" w:w="3200"/>
            <w:shd w:fill="F2F2F2" w:color="auto" w:val="clear"/>
            <w:tcMar>
              <w:top w:type="dxa" w:w="80"/>
              <w:left w:type="dxa" w:w="100"/>
              <w:bottom w:type="dxa" w:w="80"/>
              <w:right w:type="dxa" w:w="100"/>
            </w:tcMar>
          </w:tcPr>
          <w:p>
            <w:r>
              <w:rPr>
                <w:b w:val="false"/>
                <w:bCs w:val="false"/>
                <w:color w:val="000000"/>
                <w:sz w:val="20"/>
                <w:szCs w:val="20"/>
              </w:rPr>
              <w:t xml:space="preserve">Razorpay Payments / Settlements API</w:t>
            </w:r>
          </w:p>
        </w:tc>
        <w:tc>
          <w:tcPr>
            <w:tcW w:type="dxa" w:w="3600"/>
            <w:shd w:fill="F2F2F2" w:color="auto" w:val="clear"/>
            <w:tcMar>
              <w:top w:type="dxa" w:w="80"/>
              <w:left w:type="dxa" w:w="100"/>
              <w:bottom w:type="dxa" w:w="80"/>
              <w:right w:type="dxa" w:w="100"/>
            </w:tcMar>
          </w:tcPr>
          <w:p>
            <w:r>
              <w:rPr>
                <w:b w:val="false"/>
                <w:bCs w:val="false"/>
                <w:color w:val="000000"/>
                <w:sz w:val="20"/>
                <w:szCs w:val="20"/>
              </w:rPr>
              <w:t xml:space="preserve">Source of ground-truth payment and settlement data</w:t>
            </w:r>
          </w:p>
        </w:tc>
      </w:tr>
    </w:tbl>
    <w:p>
      <w:pPr>
        <w:pStyle w:val="Heading2"/>
        <w:spacing w:after="150" w:before="300"/>
      </w:pPr>
      <w:r>
        <w:rPr>
          <w:b/>
          <w:bCs/>
          <w:color w:val="2E74B5"/>
        </w:rPr>
        <w:t xml:space="preserve">3.2 Data Flow</w:t>
      </w:r>
    </w:p>
    <w:p>
      <w:pPr>
        <w:pStyle w:val="ListParagraph"/>
        <w:numPr>
          <w:ilvl w:val="0"/>
          <w:numId w:val="3"/>
        </w:numPr>
        <w:spacing w:after="90"/>
      </w:pPr>
      <w:r>
        <w:rPr>
          <w:sz w:val="22"/>
          <w:szCs w:val="22"/>
        </w:rPr>
        <w:t xml:space="preserve">A settlement report and the corresponding window of transaction data are fetched from Razorpay's API.</w:t>
      </w:r>
    </w:p>
    <w:p>
      <w:pPr>
        <w:pStyle w:val="ListParagraph"/>
        <w:numPr>
          <w:ilvl w:val="0"/>
          <w:numId w:val="3"/>
        </w:numPr>
        <w:spacing w:after="90"/>
      </w:pPr>
      <w:r>
        <w:rPr>
          <w:sz w:val="22"/>
          <w:szCs w:val="22"/>
        </w:rPr>
        <w:t xml:space="preserve">The reconciliation engine matches each transaction to the settlement and recomputes expected fee/GST/reserve deductions.</w:t>
      </w:r>
    </w:p>
    <w:p>
      <w:pPr>
        <w:pStyle w:val="ListParagraph"/>
        <w:numPr>
          <w:ilvl w:val="0"/>
          <w:numId w:val="3"/>
        </w:numPr>
        <w:spacing w:after="90"/>
      </w:pPr>
      <w:r>
        <w:rPr>
          <w:sz w:val="22"/>
          <w:szCs w:val="22"/>
        </w:rPr>
        <w:t xml:space="preserve">Matches within tolerance are marked verified; mismatches are written as exceptions with a reason code.</w:t>
      </w:r>
    </w:p>
    <w:p>
      <w:pPr>
        <w:pStyle w:val="ListParagraph"/>
        <w:numPr>
          <w:ilvl w:val="0"/>
          <w:numId w:val="3"/>
        </w:numPr>
        <w:spacing w:after="90"/>
      </w:pPr>
      <w:r>
        <w:rPr>
          <w:sz w:val="22"/>
          <w:szCs w:val="22"/>
        </w:rPr>
        <w:t xml:space="preserve">In parallel, the Payment State Reconciler checks for orders exceeding their expected resolution window and queries the Payments API directly for ground truth.</w:t>
      </w:r>
    </w:p>
    <w:p>
      <w:pPr>
        <w:pStyle w:val="ListParagraph"/>
        <w:numPr>
          <w:ilvl w:val="0"/>
          <w:numId w:val="3"/>
        </w:numPr>
        <w:spacing w:after="90"/>
      </w:pPr>
      <w:r>
        <w:rPr>
          <w:sz w:val="22"/>
          <w:szCs w:val="22"/>
        </w:rPr>
        <w:t xml:space="preserve">Any status mismatch found is corrected in the local order record and logged.</w:t>
      </w:r>
    </w:p>
    <w:p>
      <w:pPr>
        <w:pStyle w:val="ListParagraph"/>
        <w:numPr>
          <w:ilvl w:val="0"/>
          <w:numId w:val="3"/>
        </w:numPr>
        <w:spacing w:after="90"/>
      </w:pPr>
      <w:r>
        <w:rPr>
          <w:sz w:val="22"/>
          <w:szCs w:val="22"/>
        </w:rPr>
        <w:t xml:space="preserve">The LLM API is called asynchronously per exception to produce a plain-language explanation and a revenue-impact ranking.</w:t>
      </w:r>
    </w:p>
    <w:p>
      <w:pPr>
        <w:pStyle w:val="ListParagraph"/>
        <w:numPr>
          <w:ilvl w:val="0"/>
          <w:numId w:val="3"/>
        </w:numPr>
        <w:spacing w:after="90"/>
      </w:pPr>
      <w:r>
        <w:rPr>
          <w:sz w:val="22"/>
          <w:szCs w:val="22"/>
        </w:rPr>
        <w:t xml:space="preserve">The dashboard reads the resulting tables and renders throughput, accuracy, and the exception list.</w:t>
      </w:r>
    </w:p>
    <w:p>
      <w:pPr>
        <w:pStyle w:val="Heading2"/>
        <w:spacing w:after="150" w:before="300"/>
      </w:pPr>
      <w:r>
        <w:rPr>
          <w:b/>
          <w:bCs/>
          <w:color w:val="2E74B5"/>
        </w:rPr>
        <w:t xml:space="preserve">3.3 Deployment View</w:t>
      </w:r>
    </w:p>
    <w:p>
      <w:pPr>
        <w:spacing w:after="160" w:line="276"/>
      </w:pPr>
      <w:r>
        <w:rPr>
          <w:sz w:val="22"/>
          <w:szCs w:val="22"/>
        </w:rPr>
        <w:t xml:space="preserve">The MVP runs entirely on a single local machine via uvicorn (FastAPI) and streamlit run, with SQLite as an embedded file-based database — no external services required beyond the Razorpay and LLM APIs. The planned V2 production deployment replaces this with a Go backend, PostgreSQL using an append-only ledger schema, Redis for caching and idempotency-key deduplication, and OpenTelemetry with a tracing backend (e.g., Jaeger) for full auditability, as detailed in the PRD roadmap.</w:t>
      </w:r>
    </w:p>
    <w:p>
      <w:pPr>
        <w:pStyle w:val="Heading1"/>
        <w:pBdr>
          <w:bottom w:val="single" w:color="1F3864" w:sz="6" w:space="4"/>
        </w:pBdr>
        <w:spacing w:after="200" w:before="400"/>
      </w:pPr>
      <w:r>
        <w:rPr>
          <w:b/>
          <w:bCs/>
          <w:color w:val="1F3864"/>
        </w:rPr>
        <w:t xml:space="preserve">4. Specific Requirements</w:t>
      </w:r>
    </w:p>
    <w:p>
      <w:pPr>
        <w:pStyle w:val="Heading2"/>
        <w:spacing w:after="150" w:before="300"/>
      </w:pPr>
      <w:r>
        <w:rPr>
          <w:b/>
          <w:bCs/>
          <w:color w:val="2E74B5"/>
        </w:rPr>
        <w:t xml:space="preserve">4.1 External Interface Requirements</w:t>
      </w:r>
    </w:p>
    <w:p>
      <w:pPr>
        <w:pStyle w:val="Heading3"/>
        <w:spacing w:after="100" w:before="200"/>
      </w:pPr>
      <w:r>
        <w:rPr>
          <w:b/>
          <w:bCs/>
          <w:color w:val="595959"/>
        </w:rPr>
        <w:t xml:space="preserve">4.1.1 User Interfaces</w:t>
      </w:r>
    </w:p>
    <w:p>
      <w:pPr>
        <w:pStyle w:val="ListParagraph"/>
        <w:numPr>
          <w:ilvl w:val="0"/>
          <w:numId w:val="2"/>
        </w:numPr>
        <w:spacing w:after="90"/>
      </w:pPr>
      <w:r>
        <w:rPr>
          <w:sz w:val="22"/>
          <w:szCs w:val="22"/>
        </w:rPr>
        <w:t xml:space="preserve">A single-page Streamlit dashboard showing three panels: throughput/accuracy summary, exception list (filterable), and a detail view per exception with its AI-generated explanation.</w:t>
      </w:r>
    </w:p>
    <w:p>
      <w:pPr>
        <w:pStyle w:val="Heading3"/>
        <w:spacing w:after="100" w:before="200"/>
      </w:pPr>
      <w:r>
        <w:rPr>
          <w:b/>
          <w:bCs/>
          <w:color w:val="595959"/>
        </w:rPr>
        <w:t xml:space="preserve">4.1.2 Software Interfaces</w:t>
      </w:r>
    </w:p>
    <w:p>
      <w:pPr>
        <w:pStyle w:val="ListParagraph"/>
        <w:numPr>
          <w:ilvl w:val="0"/>
          <w:numId w:val="2"/>
        </w:numPr>
        <w:spacing w:after="90"/>
      </w:pPr>
      <w:r>
        <w:rPr>
          <w:sz w:val="22"/>
          <w:szCs w:val="22"/>
        </w:rPr>
        <w:t xml:space="preserve">Razorpay Payments API and Settlements API, accessed via the official Python SDK, authenticated with API key/secret.</w:t>
      </w:r>
    </w:p>
    <w:p>
      <w:pPr>
        <w:pStyle w:val="ListParagraph"/>
        <w:numPr>
          <w:ilvl w:val="0"/>
          <w:numId w:val="2"/>
        </w:numPr>
        <w:spacing w:after="90"/>
      </w:pPr>
      <w:r>
        <w:rPr>
          <w:sz w:val="22"/>
          <w:szCs w:val="22"/>
        </w:rPr>
        <w:t xml:space="preserve">An external LLM API accessed over HTTPS for the exception-explanation feature.</w:t>
      </w:r>
    </w:p>
    <w:p>
      <w:pPr>
        <w:pStyle w:val="ListParagraph"/>
        <w:numPr>
          <w:ilvl w:val="0"/>
          <w:numId w:val="2"/>
        </w:numPr>
        <w:spacing w:after="90"/>
      </w:pPr>
      <w:r>
        <w:rPr>
          <w:sz w:val="22"/>
          <w:szCs w:val="22"/>
        </w:rPr>
        <w:t xml:space="preserve">SQLite accessed via Python's standard database interface (or an ORM such as SQLAlchemy).</w:t>
      </w:r>
    </w:p>
    <w:p>
      <w:pPr>
        <w:pStyle w:val="Heading3"/>
        <w:spacing w:after="100" w:before="200"/>
      </w:pPr>
      <w:r>
        <w:rPr>
          <w:b/>
          <w:bCs/>
          <w:color w:val="595959"/>
        </w:rPr>
        <w:t xml:space="preserve">4.1.3 Communication Interfaces</w:t>
      </w:r>
    </w:p>
    <w:p>
      <w:pPr>
        <w:pStyle w:val="ListParagraph"/>
        <w:numPr>
          <w:ilvl w:val="0"/>
          <w:numId w:val="2"/>
        </w:numPr>
        <w:spacing w:after="90"/>
      </w:pPr>
      <w:r>
        <w:rPr>
          <w:sz w:val="22"/>
          <w:szCs w:val="22"/>
        </w:rPr>
        <w:t xml:space="preserve">All external calls (Razorpay, LLM) use HTTPS. The internal Streamlit-to-FastAPI communication uses HTTP over localhost for the MVP.</w:t>
      </w:r>
    </w:p>
    <w:p>
      <w:pPr>
        <w:pStyle w:val="Heading2"/>
        <w:spacing w:after="150" w:before="300"/>
      </w:pPr>
      <w:r>
        <w:rPr>
          <w:b/>
          <w:bCs/>
          <w:color w:val="2E74B5"/>
        </w:rPr>
        <w:t xml:space="preserve">4.2 Functional Requirements (Summary)</w:t>
      </w:r>
    </w:p>
    <w:p>
      <w:pPr>
        <w:spacing w:after="160" w:line="276"/>
      </w:pPr>
      <w:r>
        <w:rPr>
          <w:sz w:val="22"/>
          <w:szCs w:val="22"/>
        </w:rPr>
        <w:t xml:space="preserve">Full detail for each requirement, including inputs, processing, outputs, and acceptance criteria, is defined in the companion Functional Requirements Specification. This SRS lists the requirement identifiers for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1400"/>
      </w:tblGrid>
      <w:tr>
        <w:trPr>
          <w:tblHeader/>
        </w:trPr>
        <w:tc>
          <w:tcPr>
            <w:tcW w:type="dxa" w:w="1600"/>
            <w:shd w:fill="1F3864" w:color="auto" w:val="clear"/>
            <w:tcMar>
              <w:top w:type="dxa" w:w="80"/>
              <w:left w:type="dxa" w:w="100"/>
              <w:bottom w:type="dxa" w:w="80"/>
              <w:right w:type="dxa" w:w="100"/>
            </w:tcMar>
          </w:tcPr>
          <w:p>
            <w:r>
              <w:rPr>
                <w:b/>
                <w:bCs/>
                <w:color w:val="FFFFFF"/>
                <w:sz w:val="20"/>
                <w:szCs w:val="20"/>
              </w:rPr>
              <w:t xml:space="preserve">ID</w:t>
            </w:r>
          </w:p>
        </w:tc>
        <w:tc>
          <w:tcPr>
            <w:tcW w:type="dxa" w:w="6000"/>
            <w:shd w:fill="1F3864" w:color="auto" w:val="clear"/>
            <w:tcMar>
              <w:top w:type="dxa" w:w="80"/>
              <w:left w:type="dxa" w:w="100"/>
              <w:bottom w:type="dxa" w:w="80"/>
              <w:right w:type="dxa" w:w="100"/>
            </w:tcMar>
          </w:tcPr>
          <w:p>
            <w:r>
              <w:rPr>
                <w:b/>
                <w:bCs/>
                <w:color w:val="FFFFFF"/>
                <w:sz w:val="20"/>
                <w:szCs w:val="20"/>
              </w:rPr>
              <w:t xml:space="preserve">Requirement</w:t>
            </w:r>
          </w:p>
        </w:tc>
        <w:tc>
          <w:tcPr>
            <w:tcW w:type="dxa" w:w="1400"/>
            <w:shd w:fill="1F3864" w:color="auto" w:val="clear"/>
            <w:tcMar>
              <w:top w:type="dxa" w:w="80"/>
              <w:left w:type="dxa" w:w="100"/>
              <w:bottom w:type="dxa" w:w="80"/>
              <w:right w:type="dxa" w:w="100"/>
            </w:tcMar>
          </w:tcPr>
          <w:p>
            <w:r>
              <w:rPr>
                <w:b/>
                <w:bCs/>
                <w:color w:val="FFFFFF"/>
                <w:sz w:val="20"/>
                <w:szCs w:val="20"/>
              </w:rPr>
              <w:t xml:space="preserve">Priority</w:t>
            </w:r>
          </w:p>
        </w:tc>
      </w:tr>
      <w:tr>
        <w:tc>
          <w:tcPr>
            <w:tcW w:type="dxa" w:w="1600"/>
            <w:tcMar>
              <w:top w:type="dxa" w:w="80"/>
              <w:left w:type="dxa" w:w="100"/>
              <w:bottom w:type="dxa" w:w="80"/>
              <w:right w:type="dxa" w:w="100"/>
            </w:tcMar>
          </w:tcPr>
          <w:p>
            <w:r>
              <w:rPr>
                <w:b w:val="false"/>
                <w:bCs w:val="false"/>
                <w:color w:val="000000"/>
                <w:sz w:val="20"/>
                <w:szCs w:val="20"/>
              </w:rPr>
              <w:t xml:space="preserve">FR-1.1</w:t>
            </w:r>
          </w:p>
        </w:tc>
        <w:tc>
          <w:tcPr>
            <w:tcW w:type="dxa" w:w="6000"/>
            <w:tcMar>
              <w:top w:type="dxa" w:w="80"/>
              <w:left w:type="dxa" w:w="100"/>
              <w:bottom w:type="dxa" w:w="80"/>
              <w:right w:type="dxa" w:w="100"/>
            </w:tcMar>
          </w:tcPr>
          <w:p>
            <w:r>
              <w:rPr>
                <w:b w:val="false"/>
                <w:bCs w:val="false"/>
                <w:color w:val="000000"/>
                <w:sz w:val="20"/>
                <w:szCs w:val="20"/>
              </w:rPr>
              <w:t xml:space="preserve">Ingest a settlement report</w:t>
            </w:r>
          </w:p>
        </w:tc>
        <w:tc>
          <w:tcPr>
            <w:tcW w:type="dxa" w:w="1400"/>
            <w:tcMar>
              <w:top w:type="dxa" w:w="80"/>
              <w:left w:type="dxa" w:w="100"/>
              <w:bottom w:type="dxa" w:w="80"/>
              <w:right w:type="dxa" w:w="100"/>
            </w:tcMar>
          </w:tcPr>
          <w:p>
            <w:r>
              <w:rPr>
                <w:b w:val="false"/>
                <w:bCs w:val="false"/>
                <w:color w:val="000000"/>
                <w:sz w:val="20"/>
                <w:szCs w:val="20"/>
              </w:rPr>
              <w:t xml:space="preserve">Must</w:t>
            </w:r>
          </w:p>
        </w:tc>
      </w:tr>
      <w:tr>
        <w:tc>
          <w:tcPr>
            <w:tcW w:type="dxa" w:w="1600"/>
            <w:shd w:fill="F2F2F2" w:color="auto" w:val="clear"/>
            <w:tcMar>
              <w:top w:type="dxa" w:w="80"/>
              <w:left w:type="dxa" w:w="100"/>
              <w:bottom w:type="dxa" w:w="80"/>
              <w:right w:type="dxa" w:w="100"/>
            </w:tcMar>
          </w:tcPr>
          <w:p>
            <w:r>
              <w:rPr>
                <w:b w:val="false"/>
                <w:bCs w:val="false"/>
                <w:color w:val="000000"/>
                <w:sz w:val="20"/>
                <w:szCs w:val="20"/>
              </w:rPr>
              <w:t xml:space="preserve">FR-1.2</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Fetch transaction-level data for the settlement window</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Must</w:t>
            </w:r>
          </w:p>
        </w:tc>
      </w:tr>
      <w:tr>
        <w:tc>
          <w:tcPr>
            <w:tcW w:type="dxa" w:w="1600"/>
            <w:tcMar>
              <w:top w:type="dxa" w:w="80"/>
              <w:left w:type="dxa" w:w="100"/>
              <w:bottom w:type="dxa" w:w="80"/>
              <w:right w:type="dxa" w:w="100"/>
            </w:tcMar>
          </w:tcPr>
          <w:p>
            <w:r>
              <w:rPr>
                <w:b w:val="false"/>
                <w:bCs w:val="false"/>
                <w:color w:val="000000"/>
                <w:sz w:val="20"/>
                <w:szCs w:val="20"/>
              </w:rPr>
              <w:t xml:space="preserve">FR-1.3</w:t>
            </w:r>
          </w:p>
        </w:tc>
        <w:tc>
          <w:tcPr>
            <w:tcW w:type="dxa" w:w="6000"/>
            <w:tcMar>
              <w:top w:type="dxa" w:w="80"/>
              <w:left w:type="dxa" w:w="100"/>
              <w:bottom w:type="dxa" w:w="80"/>
              <w:right w:type="dxa" w:w="100"/>
            </w:tcMar>
          </w:tcPr>
          <w:p>
            <w:r>
              <w:rPr>
                <w:b w:val="false"/>
                <w:bCs w:val="false"/>
                <w:color w:val="000000"/>
                <w:sz w:val="20"/>
                <w:szCs w:val="20"/>
              </w:rPr>
              <w:t xml:space="preserve">Match transactions to the settlement</w:t>
            </w:r>
          </w:p>
        </w:tc>
        <w:tc>
          <w:tcPr>
            <w:tcW w:type="dxa" w:w="1400"/>
            <w:tcMar>
              <w:top w:type="dxa" w:w="80"/>
              <w:left w:type="dxa" w:w="100"/>
              <w:bottom w:type="dxa" w:w="80"/>
              <w:right w:type="dxa" w:w="100"/>
            </w:tcMar>
          </w:tcPr>
          <w:p>
            <w:r>
              <w:rPr>
                <w:b w:val="false"/>
                <w:bCs w:val="false"/>
                <w:color w:val="000000"/>
                <w:sz w:val="20"/>
                <w:szCs w:val="20"/>
              </w:rPr>
              <w:t xml:space="preserve">Must</w:t>
            </w:r>
          </w:p>
        </w:tc>
      </w:tr>
      <w:tr>
        <w:tc>
          <w:tcPr>
            <w:tcW w:type="dxa" w:w="1600"/>
            <w:shd w:fill="F2F2F2" w:color="auto" w:val="clear"/>
            <w:tcMar>
              <w:top w:type="dxa" w:w="80"/>
              <w:left w:type="dxa" w:w="100"/>
              <w:bottom w:type="dxa" w:w="80"/>
              <w:right w:type="dxa" w:w="100"/>
            </w:tcMar>
          </w:tcPr>
          <w:p>
            <w:r>
              <w:rPr>
                <w:b w:val="false"/>
                <w:bCs w:val="false"/>
                <w:color w:val="000000"/>
                <w:sz w:val="20"/>
                <w:szCs w:val="20"/>
              </w:rPr>
              <w:t xml:space="preserve">FR-1.4</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Verify fee / GST / reserve line items</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Must</w:t>
            </w:r>
          </w:p>
        </w:tc>
      </w:tr>
      <w:tr>
        <w:tc>
          <w:tcPr>
            <w:tcW w:type="dxa" w:w="1600"/>
            <w:tcMar>
              <w:top w:type="dxa" w:w="80"/>
              <w:left w:type="dxa" w:w="100"/>
              <w:bottom w:type="dxa" w:w="80"/>
              <w:right w:type="dxa" w:w="100"/>
            </w:tcMar>
          </w:tcPr>
          <w:p>
            <w:r>
              <w:rPr>
                <w:b w:val="false"/>
                <w:bCs w:val="false"/>
                <w:color w:val="000000"/>
                <w:sz w:val="20"/>
                <w:szCs w:val="20"/>
              </w:rPr>
              <w:t xml:space="preserve">FR-1.5</w:t>
            </w:r>
          </w:p>
        </w:tc>
        <w:tc>
          <w:tcPr>
            <w:tcW w:type="dxa" w:w="6000"/>
            <w:tcMar>
              <w:top w:type="dxa" w:w="80"/>
              <w:left w:type="dxa" w:w="100"/>
              <w:bottom w:type="dxa" w:w="80"/>
              <w:right w:type="dxa" w:w="100"/>
            </w:tcMar>
          </w:tcPr>
          <w:p>
            <w:r>
              <w:rPr>
                <w:b w:val="false"/>
                <w:bCs w:val="false"/>
                <w:color w:val="000000"/>
                <w:sz w:val="20"/>
                <w:szCs w:val="20"/>
              </w:rPr>
              <w:t xml:space="preserve">Flag and classify exceptions</w:t>
            </w:r>
          </w:p>
        </w:tc>
        <w:tc>
          <w:tcPr>
            <w:tcW w:type="dxa" w:w="1400"/>
            <w:tcMar>
              <w:top w:type="dxa" w:w="80"/>
              <w:left w:type="dxa" w:w="100"/>
              <w:bottom w:type="dxa" w:w="80"/>
              <w:right w:type="dxa" w:w="100"/>
            </w:tcMar>
          </w:tcPr>
          <w:p>
            <w:r>
              <w:rPr>
                <w:b w:val="false"/>
                <w:bCs w:val="false"/>
                <w:color w:val="000000"/>
                <w:sz w:val="20"/>
                <w:szCs w:val="20"/>
              </w:rPr>
              <w:t xml:space="preserve">Must</w:t>
            </w:r>
          </w:p>
        </w:tc>
      </w:tr>
      <w:tr>
        <w:tc>
          <w:tcPr>
            <w:tcW w:type="dxa" w:w="1600"/>
            <w:shd w:fill="F2F2F2" w:color="auto" w:val="clear"/>
            <w:tcMar>
              <w:top w:type="dxa" w:w="80"/>
              <w:left w:type="dxa" w:w="100"/>
              <w:bottom w:type="dxa" w:w="80"/>
              <w:right w:type="dxa" w:w="100"/>
            </w:tcMar>
          </w:tcPr>
          <w:p>
            <w:r>
              <w:rPr>
                <w:b w:val="false"/>
                <w:bCs w:val="false"/>
                <w:color w:val="000000"/>
                <w:sz w:val="20"/>
                <w:szCs w:val="20"/>
              </w:rPr>
              <w:t xml:space="preserve">FR-1.6</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Report throughput and accuracy on a batch</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Must</w:t>
            </w:r>
          </w:p>
        </w:tc>
      </w:tr>
      <w:tr>
        <w:tc>
          <w:tcPr>
            <w:tcW w:type="dxa" w:w="1600"/>
            <w:tcMar>
              <w:top w:type="dxa" w:w="80"/>
              <w:left w:type="dxa" w:w="100"/>
              <w:bottom w:type="dxa" w:w="80"/>
              <w:right w:type="dxa" w:w="100"/>
            </w:tcMar>
          </w:tcPr>
          <w:p>
            <w:r>
              <w:rPr>
                <w:b w:val="false"/>
                <w:bCs w:val="false"/>
                <w:color w:val="000000"/>
                <w:sz w:val="20"/>
                <w:szCs w:val="20"/>
              </w:rPr>
              <w:t xml:space="preserve">FR-2.1</w:t>
            </w:r>
          </w:p>
        </w:tc>
        <w:tc>
          <w:tcPr>
            <w:tcW w:type="dxa" w:w="6000"/>
            <w:tcMar>
              <w:top w:type="dxa" w:w="80"/>
              <w:left w:type="dxa" w:w="100"/>
              <w:bottom w:type="dxa" w:w="80"/>
              <w:right w:type="dxa" w:w="100"/>
            </w:tcMar>
          </w:tcPr>
          <w:p>
            <w:r>
              <w:rPr>
                <w:b w:val="false"/>
                <w:bCs w:val="false"/>
                <w:color w:val="000000"/>
                <w:sz w:val="20"/>
                <w:szCs w:val="20"/>
              </w:rPr>
              <w:t xml:space="preserve">Detect payments stuck beyond expected window</w:t>
            </w:r>
          </w:p>
        </w:tc>
        <w:tc>
          <w:tcPr>
            <w:tcW w:type="dxa" w:w="1400"/>
            <w:tcMar>
              <w:top w:type="dxa" w:w="80"/>
              <w:left w:type="dxa" w:w="100"/>
              <w:bottom w:type="dxa" w:w="80"/>
              <w:right w:type="dxa" w:w="100"/>
            </w:tcMar>
          </w:tcPr>
          <w:p>
            <w:r>
              <w:rPr>
                <w:b w:val="false"/>
                <w:bCs w:val="false"/>
                <w:color w:val="000000"/>
                <w:sz w:val="20"/>
                <w:szCs w:val="20"/>
              </w:rPr>
              <w:t xml:space="preserve">Should</w:t>
            </w:r>
          </w:p>
        </w:tc>
      </w:tr>
      <w:tr>
        <w:tc>
          <w:tcPr>
            <w:tcW w:type="dxa" w:w="1600"/>
            <w:shd w:fill="F2F2F2" w:color="auto" w:val="clear"/>
            <w:tcMar>
              <w:top w:type="dxa" w:w="80"/>
              <w:left w:type="dxa" w:w="100"/>
              <w:bottom w:type="dxa" w:w="80"/>
              <w:right w:type="dxa" w:w="100"/>
            </w:tcMar>
          </w:tcPr>
          <w:p>
            <w:r>
              <w:rPr>
                <w:b w:val="false"/>
                <w:bCs w:val="false"/>
                <w:color w:val="000000"/>
                <w:sz w:val="20"/>
                <w:szCs w:val="20"/>
              </w:rPr>
              <w:t xml:space="preserve">FR-2.2</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Re-check stuck payments with exponential backoff</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Should</w:t>
            </w:r>
          </w:p>
        </w:tc>
      </w:tr>
      <w:tr>
        <w:tc>
          <w:tcPr>
            <w:tcW w:type="dxa" w:w="1600"/>
            <w:tcMar>
              <w:top w:type="dxa" w:w="80"/>
              <w:left w:type="dxa" w:w="100"/>
              <w:bottom w:type="dxa" w:w="80"/>
              <w:right w:type="dxa" w:w="100"/>
            </w:tcMar>
          </w:tcPr>
          <w:p>
            <w:r>
              <w:rPr>
                <w:b w:val="false"/>
                <w:bCs w:val="false"/>
                <w:color w:val="000000"/>
                <w:sz w:val="20"/>
                <w:szCs w:val="20"/>
              </w:rPr>
              <w:t xml:space="preserve">FR-2.3</w:t>
            </w:r>
          </w:p>
        </w:tc>
        <w:tc>
          <w:tcPr>
            <w:tcW w:type="dxa" w:w="6000"/>
            <w:tcMar>
              <w:top w:type="dxa" w:w="80"/>
              <w:left w:type="dxa" w:w="100"/>
              <w:bottom w:type="dxa" w:w="80"/>
              <w:right w:type="dxa" w:w="100"/>
            </w:tcMar>
          </w:tcPr>
          <w:p>
            <w:r>
              <w:rPr>
                <w:b w:val="false"/>
                <w:bCs w:val="false"/>
                <w:color w:val="000000"/>
                <w:sz w:val="20"/>
                <w:szCs w:val="20"/>
              </w:rPr>
              <w:t xml:space="preserve">Poll Razorpay API for ground truth</w:t>
            </w:r>
          </w:p>
        </w:tc>
        <w:tc>
          <w:tcPr>
            <w:tcW w:type="dxa" w:w="1400"/>
            <w:tcMar>
              <w:top w:type="dxa" w:w="80"/>
              <w:left w:type="dxa" w:w="100"/>
              <w:bottom w:type="dxa" w:w="80"/>
              <w:right w:type="dxa" w:w="100"/>
            </w:tcMar>
          </w:tcPr>
          <w:p>
            <w:r>
              <w:rPr>
                <w:b w:val="false"/>
                <w:bCs w:val="false"/>
                <w:color w:val="000000"/>
                <w:sz w:val="20"/>
                <w:szCs w:val="20"/>
              </w:rPr>
              <w:t xml:space="preserve">Should</w:t>
            </w:r>
          </w:p>
        </w:tc>
      </w:tr>
      <w:tr>
        <w:tc>
          <w:tcPr>
            <w:tcW w:type="dxa" w:w="1600"/>
            <w:shd w:fill="F2F2F2" w:color="auto" w:val="clear"/>
            <w:tcMar>
              <w:top w:type="dxa" w:w="80"/>
              <w:left w:type="dxa" w:w="100"/>
              <w:bottom w:type="dxa" w:w="80"/>
              <w:right w:type="dxa" w:w="100"/>
            </w:tcMar>
          </w:tcPr>
          <w:p>
            <w:r>
              <w:rPr>
                <w:b w:val="false"/>
                <w:bCs w:val="false"/>
                <w:color w:val="000000"/>
                <w:sz w:val="20"/>
                <w:szCs w:val="20"/>
              </w:rPr>
              <w:t xml:space="preserve">FR-2.4</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Auto-correct local order status</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Should</w:t>
            </w:r>
          </w:p>
        </w:tc>
      </w:tr>
      <w:tr>
        <w:tc>
          <w:tcPr>
            <w:tcW w:type="dxa" w:w="1600"/>
            <w:tcMar>
              <w:top w:type="dxa" w:w="80"/>
              <w:left w:type="dxa" w:w="100"/>
              <w:bottom w:type="dxa" w:w="80"/>
              <w:right w:type="dxa" w:w="100"/>
            </w:tcMar>
          </w:tcPr>
          <w:p>
            <w:r>
              <w:rPr>
                <w:b w:val="false"/>
                <w:bCs w:val="false"/>
                <w:color w:val="000000"/>
                <w:sz w:val="20"/>
                <w:szCs w:val="20"/>
              </w:rPr>
              <w:t xml:space="preserve">FR-2.5</w:t>
            </w:r>
          </w:p>
        </w:tc>
        <w:tc>
          <w:tcPr>
            <w:tcW w:type="dxa" w:w="6000"/>
            <w:tcMar>
              <w:top w:type="dxa" w:w="80"/>
              <w:left w:type="dxa" w:w="100"/>
              <w:bottom w:type="dxa" w:w="80"/>
              <w:right w:type="dxa" w:w="100"/>
            </w:tcMar>
          </w:tcPr>
          <w:p>
            <w:r>
              <w:rPr>
                <w:b w:val="false"/>
                <w:bCs w:val="false"/>
                <w:color w:val="000000"/>
                <w:sz w:val="20"/>
                <w:szCs w:val="20"/>
              </w:rPr>
              <w:t xml:space="preserve">Deduplicate repeated webhook events</w:t>
            </w:r>
          </w:p>
        </w:tc>
        <w:tc>
          <w:tcPr>
            <w:tcW w:type="dxa" w:w="1400"/>
            <w:tcMar>
              <w:top w:type="dxa" w:w="80"/>
              <w:left w:type="dxa" w:w="100"/>
              <w:bottom w:type="dxa" w:w="80"/>
              <w:right w:type="dxa" w:w="100"/>
            </w:tcMar>
          </w:tcPr>
          <w:p>
            <w:r>
              <w:rPr>
                <w:b w:val="false"/>
                <w:bCs w:val="false"/>
                <w:color w:val="000000"/>
                <w:sz w:val="20"/>
                <w:szCs w:val="20"/>
              </w:rPr>
              <w:t xml:space="preserve">Could</w:t>
            </w:r>
          </w:p>
        </w:tc>
      </w:tr>
      <w:tr>
        <w:tc>
          <w:tcPr>
            <w:tcW w:type="dxa" w:w="1600"/>
            <w:shd w:fill="F2F2F2" w:color="auto" w:val="clear"/>
            <w:tcMar>
              <w:top w:type="dxa" w:w="80"/>
              <w:left w:type="dxa" w:w="100"/>
              <w:bottom w:type="dxa" w:w="80"/>
              <w:right w:type="dxa" w:w="100"/>
            </w:tcMar>
          </w:tcPr>
          <w:p>
            <w:r>
              <w:rPr>
                <w:b w:val="false"/>
                <w:bCs w:val="false"/>
                <w:color w:val="000000"/>
                <w:sz w:val="20"/>
                <w:szCs w:val="20"/>
              </w:rPr>
              <w:t xml:space="preserve">FR-3.1</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Generate a plain-language exception explanation</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Should</w:t>
            </w:r>
          </w:p>
        </w:tc>
      </w:tr>
      <w:tr>
        <w:tc>
          <w:tcPr>
            <w:tcW w:type="dxa" w:w="1600"/>
            <w:tcMar>
              <w:top w:type="dxa" w:w="80"/>
              <w:left w:type="dxa" w:w="100"/>
              <w:bottom w:type="dxa" w:w="80"/>
              <w:right w:type="dxa" w:w="100"/>
            </w:tcMar>
          </w:tcPr>
          <w:p>
            <w:r>
              <w:rPr>
                <w:b w:val="false"/>
                <w:bCs w:val="false"/>
                <w:color w:val="000000"/>
                <w:sz w:val="20"/>
                <w:szCs w:val="20"/>
              </w:rPr>
              <w:t xml:space="preserve">FR-3.2</w:t>
            </w:r>
          </w:p>
        </w:tc>
        <w:tc>
          <w:tcPr>
            <w:tcW w:type="dxa" w:w="6000"/>
            <w:tcMar>
              <w:top w:type="dxa" w:w="80"/>
              <w:left w:type="dxa" w:w="100"/>
              <w:bottom w:type="dxa" w:w="80"/>
              <w:right w:type="dxa" w:w="100"/>
            </w:tcMar>
          </w:tcPr>
          <w:p>
            <w:r>
              <w:rPr>
                <w:b w:val="false"/>
                <w:bCs w:val="false"/>
                <w:color w:val="000000"/>
                <w:sz w:val="20"/>
                <w:szCs w:val="20"/>
              </w:rPr>
              <w:t xml:space="preserve">Rank exceptions by estimated revenue impact</w:t>
            </w:r>
          </w:p>
        </w:tc>
        <w:tc>
          <w:tcPr>
            <w:tcW w:type="dxa" w:w="1400"/>
            <w:tcMar>
              <w:top w:type="dxa" w:w="80"/>
              <w:left w:type="dxa" w:w="100"/>
              <w:bottom w:type="dxa" w:w="80"/>
              <w:right w:type="dxa" w:w="100"/>
            </w:tcMar>
          </w:tcPr>
          <w:p>
            <w:r>
              <w:rPr>
                <w:b w:val="false"/>
                <w:bCs w:val="false"/>
                <w:color w:val="000000"/>
                <w:sz w:val="20"/>
                <w:szCs w:val="20"/>
              </w:rPr>
              <w:t xml:space="preserve">Could</w:t>
            </w:r>
          </w:p>
        </w:tc>
      </w:tr>
      <w:tr>
        <w:tc>
          <w:tcPr>
            <w:tcW w:type="dxa" w:w="1600"/>
            <w:shd w:fill="F2F2F2" w:color="auto" w:val="clear"/>
            <w:tcMar>
              <w:top w:type="dxa" w:w="80"/>
              <w:left w:type="dxa" w:w="100"/>
              <w:bottom w:type="dxa" w:w="80"/>
              <w:right w:type="dxa" w:w="100"/>
            </w:tcMar>
          </w:tcPr>
          <w:p>
            <w:r>
              <w:rPr>
                <w:b w:val="false"/>
                <w:bCs w:val="false"/>
                <w:color w:val="000000"/>
                <w:sz w:val="20"/>
                <w:szCs w:val="20"/>
              </w:rPr>
              <w:t xml:space="preserve">FR-4.1</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Display summary metrics on the dashboard</w:t>
            </w:r>
          </w:p>
        </w:tc>
        <w:tc>
          <w:tcPr>
            <w:tcW w:type="dxa" w:w="1400"/>
            <w:shd w:fill="F2F2F2" w:color="auto" w:val="clear"/>
            <w:tcMar>
              <w:top w:type="dxa" w:w="80"/>
              <w:left w:type="dxa" w:w="100"/>
              <w:bottom w:type="dxa" w:w="80"/>
              <w:right w:type="dxa" w:w="100"/>
            </w:tcMar>
          </w:tcPr>
          <w:p>
            <w:r>
              <w:rPr>
                <w:b w:val="false"/>
                <w:bCs w:val="false"/>
                <w:color w:val="000000"/>
                <w:sz w:val="20"/>
                <w:szCs w:val="20"/>
              </w:rPr>
              <w:t xml:space="preserve">Must</w:t>
            </w:r>
          </w:p>
        </w:tc>
      </w:tr>
      <w:tr>
        <w:tc>
          <w:tcPr>
            <w:tcW w:type="dxa" w:w="1600"/>
            <w:tcMar>
              <w:top w:type="dxa" w:w="80"/>
              <w:left w:type="dxa" w:w="100"/>
              <w:bottom w:type="dxa" w:w="80"/>
              <w:right w:type="dxa" w:w="100"/>
            </w:tcMar>
          </w:tcPr>
          <w:p>
            <w:r>
              <w:rPr>
                <w:b w:val="false"/>
                <w:bCs w:val="false"/>
                <w:color w:val="000000"/>
                <w:sz w:val="20"/>
                <w:szCs w:val="20"/>
              </w:rPr>
              <w:t xml:space="preserve">FR-4.2</w:t>
            </w:r>
          </w:p>
        </w:tc>
        <w:tc>
          <w:tcPr>
            <w:tcW w:type="dxa" w:w="6000"/>
            <w:tcMar>
              <w:top w:type="dxa" w:w="80"/>
              <w:left w:type="dxa" w:w="100"/>
              <w:bottom w:type="dxa" w:w="80"/>
              <w:right w:type="dxa" w:w="100"/>
            </w:tcMar>
          </w:tcPr>
          <w:p>
            <w:r>
              <w:rPr>
                <w:b w:val="false"/>
                <w:bCs w:val="false"/>
                <w:color w:val="000000"/>
                <w:sz w:val="20"/>
                <w:szCs w:val="20"/>
              </w:rPr>
              <w:t xml:space="preserve">Filter and search the exception list</w:t>
            </w:r>
          </w:p>
        </w:tc>
        <w:tc>
          <w:tcPr>
            <w:tcW w:type="dxa" w:w="1400"/>
            <w:tcMar>
              <w:top w:type="dxa" w:w="80"/>
              <w:left w:type="dxa" w:w="100"/>
              <w:bottom w:type="dxa" w:w="80"/>
              <w:right w:type="dxa" w:w="100"/>
            </w:tcMar>
          </w:tcPr>
          <w:p>
            <w:r>
              <w:rPr>
                <w:b w:val="false"/>
                <w:bCs w:val="false"/>
                <w:color w:val="000000"/>
                <w:sz w:val="20"/>
                <w:szCs w:val="20"/>
              </w:rPr>
              <w:t xml:space="preserve">Should</w:t>
            </w:r>
          </w:p>
        </w:tc>
      </w:tr>
    </w:tbl>
    <w:p>
      <w:pPr>
        <w:pStyle w:val="Heading2"/>
        <w:spacing w:after="150" w:before="300"/>
      </w:pPr>
      <w:r>
        <w:rPr>
          <w:b/>
          <w:bCs/>
          <w:color w:val="2E74B5"/>
        </w:rPr>
        <w:t xml:space="preserve">4.3 Non-Functional Requirements</w:t>
      </w:r>
    </w:p>
    <w:p>
      <w:pPr>
        <w:pStyle w:val="Heading3"/>
        <w:spacing w:after="100" w:before="200"/>
      </w:pPr>
      <w:r>
        <w:rPr>
          <w:b/>
          <w:bCs/>
          <w:color w:val="595959"/>
        </w:rPr>
        <w:t xml:space="preserve">4.3.1 Performance</w:t>
      </w:r>
    </w:p>
    <w:p>
      <w:pPr>
        <w:pStyle w:val="ListParagraph"/>
        <w:numPr>
          <w:ilvl w:val="0"/>
          <w:numId w:val="2"/>
        </w:numPr>
        <w:spacing w:after="90"/>
      </w:pPr>
      <w:r>
        <w:rPr>
          <w:sz w:val="22"/>
          <w:szCs w:val="22"/>
        </w:rPr>
        <w:t xml:space="preserve">The reconciliation engine should process a batch of at least 1,000 transactions in under 10 seconds on a standard laptop for the MVP demonstration.</w:t>
      </w:r>
    </w:p>
    <w:p>
      <w:pPr>
        <w:pStyle w:val="ListParagraph"/>
        <w:numPr>
          <w:ilvl w:val="0"/>
          <w:numId w:val="2"/>
        </w:numPr>
        <w:spacing w:after="90"/>
      </w:pPr>
      <w:r>
        <w:rPr>
          <w:sz w:val="22"/>
          <w:szCs w:val="22"/>
        </w:rPr>
        <w:t xml:space="preserve">Stuck-payment re-checks should use a scheduled backoff (e.g., 30s, 2min, 10min) rather than constant polling, to minimise Razorpay API load and avoid rate-limiting.</w:t>
      </w:r>
    </w:p>
    <w:p>
      <w:pPr>
        <w:pStyle w:val="Heading3"/>
        <w:spacing w:after="100" w:before="200"/>
      </w:pPr>
      <w:r>
        <w:rPr>
          <w:b/>
          <w:bCs/>
          <w:color w:val="595959"/>
        </w:rPr>
        <w:t xml:space="preserve">4.3.2 Reliability and Availability</w:t>
      </w:r>
    </w:p>
    <w:p>
      <w:pPr>
        <w:pStyle w:val="ListParagraph"/>
        <w:numPr>
          <w:ilvl w:val="0"/>
          <w:numId w:val="2"/>
        </w:numPr>
        <w:spacing w:after="90"/>
      </w:pPr>
      <w:r>
        <w:rPr>
          <w:sz w:val="22"/>
          <w:szCs w:val="22"/>
        </w:rPr>
        <w:t xml:space="preserve">No transaction may be silently dropped: every input row must appear in either the verified set or the exception list.</w:t>
      </w:r>
    </w:p>
    <w:p>
      <w:pPr>
        <w:pStyle w:val="ListParagraph"/>
        <w:numPr>
          <w:ilvl w:val="0"/>
          <w:numId w:val="2"/>
        </w:numPr>
        <w:spacing w:after="90"/>
      </w:pPr>
      <w:r>
        <w:rPr>
          <w:sz w:val="22"/>
          <w:szCs w:val="22"/>
        </w:rPr>
        <w:t xml:space="preserve">The system must be resilient to a single failed Razorpay API call via retry with backoff, without corrupting already-verified state.</w:t>
      </w:r>
    </w:p>
    <w:p>
      <w:pPr>
        <w:pStyle w:val="Heading3"/>
        <w:spacing w:after="100" w:before="200"/>
      </w:pPr>
      <w:r>
        <w:rPr>
          <w:b/>
          <w:bCs/>
          <w:color w:val="595959"/>
        </w:rPr>
        <w:t xml:space="preserve">4.3.3 Security</w:t>
      </w:r>
    </w:p>
    <w:p>
      <w:pPr>
        <w:pStyle w:val="ListParagraph"/>
        <w:numPr>
          <w:ilvl w:val="0"/>
          <w:numId w:val="2"/>
        </w:numPr>
        <w:spacing w:after="90"/>
      </w:pPr>
      <w:r>
        <w:rPr>
          <w:sz w:val="22"/>
          <w:szCs w:val="22"/>
        </w:rPr>
        <w:t xml:space="preserve">Razorpay API keys and LLM API keys are stored as environment variables, never hard-coded or logged.</w:t>
      </w:r>
    </w:p>
    <w:p>
      <w:pPr>
        <w:pStyle w:val="ListParagraph"/>
        <w:numPr>
          <w:ilvl w:val="0"/>
          <w:numId w:val="2"/>
        </w:numPr>
        <w:spacing w:after="90"/>
      </w:pPr>
      <w:r>
        <w:rPr>
          <w:sz w:val="22"/>
          <w:szCs w:val="22"/>
        </w:rPr>
        <w:t xml:space="preserve">No cardholder or full payment-instrument data is persisted; only transaction identifiers, amounts, and status fields required for reconciliation are stored.</w:t>
      </w:r>
    </w:p>
    <w:p>
      <w:pPr>
        <w:pStyle w:val="Heading3"/>
        <w:spacing w:after="100" w:before="200"/>
      </w:pPr>
      <w:r>
        <w:rPr>
          <w:b/>
          <w:bCs/>
          <w:color w:val="595959"/>
        </w:rPr>
        <w:t xml:space="preserve">4.3.4 Maintainability</w:t>
      </w:r>
    </w:p>
    <w:p>
      <w:pPr>
        <w:pStyle w:val="ListParagraph"/>
        <w:numPr>
          <w:ilvl w:val="0"/>
          <w:numId w:val="2"/>
        </w:numPr>
        <w:spacing w:after="90"/>
      </w:pPr>
      <w:r>
        <w:rPr>
          <w:sz w:val="22"/>
          <w:szCs w:val="22"/>
        </w:rPr>
        <w:t xml:space="preserve">Reconciliation rules (fee formulas, tolerance thresholds) are defined as configuration rather than hard-coded, so rate-card changes do not require code changes.</w:t>
      </w:r>
    </w:p>
    <w:p>
      <w:pPr>
        <w:pStyle w:val="Heading3"/>
        <w:spacing w:after="100" w:before="200"/>
      </w:pPr>
      <w:r>
        <w:rPr>
          <w:b/>
          <w:bCs/>
          <w:color w:val="595959"/>
        </w:rPr>
        <w:t xml:space="preserve">4.3.5 Scalability (forward-looking)</w:t>
      </w:r>
    </w:p>
    <w:p>
      <w:pPr>
        <w:spacing w:after="160" w:line="276"/>
      </w:pPr>
      <w:r>
        <w:rPr>
          <w:sz w:val="22"/>
          <w:szCs w:val="22"/>
        </w:rPr>
        <w:t xml:space="preserve">The MVP is intentionally single-tenant and single-machine. The V2 architecture defined in the PRD roadmap (Go, PostgreSQL append-only ledger, Redis, OpenTelemetry) is the intended path to multi-merchant, production-grade scale and is out of scope for this submission's implementation, though the data model in Section 5 is designed to be forward-compatible with it.</w:t>
      </w:r>
    </w:p>
    <w:p>
      <w:pPr>
        <w:pStyle w:val="Heading1"/>
        <w:pBdr>
          <w:bottom w:val="single" w:color="1F3864" w:sz="6" w:space="4"/>
        </w:pBdr>
        <w:spacing w:after="200" w:before="400"/>
      </w:pPr>
      <w:r>
        <w:rPr>
          <w:b/>
          <w:bCs/>
          <w:color w:val="1F3864"/>
        </w:rPr>
        <w:t xml:space="preserve">5. Data Requirements</w:t>
      </w:r>
    </w:p>
    <w:p>
      <w:pPr>
        <w:pStyle w:val="Heading2"/>
        <w:spacing w:after="150" w:before="300"/>
      </w:pPr>
      <w:r>
        <w:rPr>
          <w:b/>
          <w:bCs/>
          <w:color w:val="2E74B5"/>
        </w:rPr>
        <w:t xml:space="preserve">5.1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tcMar>
              <w:top w:type="dxa" w:w="80"/>
              <w:left w:type="dxa" w:w="100"/>
              <w:bottom w:type="dxa" w:w="80"/>
              <w:right w:type="dxa" w:w="100"/>
            </w:tcMar>
          </w:tcPr>
          <w:p>
            <w:r>
              <w:rPr>
                <w:b/>
                <w:bCs/>
                <w:color w:val="FFFFFF"/>
                <w:sz w:val="20"/>
                <w:szCs w:val="20"/>
              </w:rPr>
              <w:t xml:space="preserve">Entity</w:t>
            </w:r>
          </w:p>
        </w:tc>
        <w:tc>
          <w:tcPr>
            <w:tcW w:type="dxa" w:w="6000"/>
            <w:shd w:fill="1F3864" w:color="auto" w:val="clear"/>
            <w:tcMar>
              <w:top w:type="dxa" w:w="80"/>
              <w:left w:type="dxa" w:w="100"/>
              <w:bottom w:type="dxa" w:w="80"/>
              <w:right w:type="dxa" w:w="100"/>
            </w:tcMar>
          </w:tcPr>
          <w:p>
            <w:r>
              <w:rPr>
                <w:b/>
                <w:bCs/>
                <w:color w:val="FFFFFF"/>
                <w:sz w:val="20"/>
                <w:szCs w:val="20"/>
              </w:rPr>
              <w:t xml:space="preserve">Key Fields</w:t>
            </w:r>
          </w:p>
        </w:tc>
      </w:tr>
      <w:tr>
        <w:tc>
          <w:tcPr>
            <w:tcW w:type="dxa" w:w="3000"/>
            <w:tcMar>
              <w:top w:type="dxa" w:w="80"/>
              <w:left w:type="dxa" w:w="100"/>
              <w:bottom w:type="dxa" w:w="80"/>
              <w:right w:type="dxa" w:w="100"/>
            </w:tcMar>
          </w:tcPr>
          <w:p>
            <w:r>
              <w:rPr>
                <w:b w:val="false"/>
                <w:bCs w:val="false"/>
                <w:color w:val="000000"/>
                <w:sz w:val="20"/>
                <w:szCs w:val="20"/>
              </w:rPr>
              <w:t xml:space="preserve">Transaction</w:t>
            </w:r>
          </w:p>
        </w:tc>
        <w:tc>
          <w:tcPr>
            <w:tcW w:type="dxa" w:w="6000"/>
            <w:tcMar>
              <w:top w:type="dxa" w:w="80"/>
              <w:left w:type="dxa" w:w="100"/>
              <w:bottom w:type="dxa" w:w="80"/>
              <w:right w:type="dxa" w:w="100"/>
            </w:tcMar>
          </w:tcPr>
          <w:p>
            <w:r>
              <w:rPr>
                <w:b w:val="false"/>
                <w:bCs w:val="false"/>
                <w:color w:val="000000"/>
                <w:sz w:val="20"/>
                <w:szCs w:val="20"/>
              </w:rPr>
              <w:t xml:space="preserve">transaction_id, order_id, amount, currency, method, status, created_at, captured_at</w:t>
            </w:r>
          </w:p>
        </w:tc>
      </w:tr>
      <w:tr>
        <w:tc>
          <w:tcPr>
            <w:tcW w:type="dxa" w:w="3000"/>
            <w:shd w:fill="F2F2F2" w:color="auto" w:val="clear"/>
            <w:tcMar>
              <w:top w:type="dxa" w:w="80"/>
              <w:left w:type="dxa" w:w="100"/>
              <w:bottom w:type="dxa" w:w="80"/>
              <w:right w:type="dxa" w:w="100"/>
            </w:tcMar>
          </w:tcPr>
          <w:p>
            <w:r>
              <w:rPr>
                <w:b w:val="false"/>
                <w:bCs w:val="false"/>
                <w:color w:val="000000"/>
                <w:sz w:val="20"/>
                <w:szCs w:val="20"/>
              </w:rPr>
              <w:t xml:space="preserve">Settlement</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settlement_id (UTR), amount, fees, tax, settled_at</w:t>
            </w:r>
          </w:p>
        </w:tc>
      </w:tr>
      <w:tr>
        <w:tc>
          <w:tcPr>
            <w:tcW w:type="dxa" w:w="3000"/>
            <w:tcMar>
              <w:top w:type="dxa" w:w="80"/>
              <w:left w:type="dxa" w:w="100"/>
              <w:bottom w:type="dxa" w:w="80"/>
              <w:right w:type="dxa" w:w="100"/>
            </w:tcMar>
          </w:tcPr>
          <w:p>
            <w:r>
              <w:rPr>
                <w:b w:val="false"/>
                <w:bCs w:val="false"/>
                <w:color w:val="000000"/>
                <w:sz w:val="20"/>
                <w:szCs w:val="20"/>
              </w:rPr>
              <w:t xml:space="preserve">SettlementLineItem</w:t>
            </w:r>
          </w:p>
        </w:tc>
        <w:tc>
          <w:tcPr>
            <w:tcW w:type="dxa" w:w="6000"/>
            <w:tcMar>
              <w:top w:type="dxa" w:w="80"/>
              <w:left w:type="dxa" w:w="100"/>
              <w:bottom w:type="dxa" w:w="80"/>
              <w:right w:type="dxa" w:w="100"/>
            </w:tcMar>
          </w:tcPr>
          <w:p>
            <w:r>
              <w:rPr>
                <w:b w:val="false"/>
                <w:bCs w:val="false"/>
                <w:color w:val="000000"/>
                <w:sz w:val="20"/>
                <w:szCs w:val="20"/>
              </w:rPr>
              <w:t xml:space="preserve">settlement_id, transaction_id, fee_amount, gst_amount, reserve_amount</w:t>
            </w:r>
          </w:p>
        </w:tc>
      </w:tr>
      <w:tr>
        <w:tc>
          <w:tcPr>
            <w:tcW w:type="dxa" w:w="3000"/>
            <w:shd w:fill="F2F2F2" w:color="auto" w:val="clear"/>
            <w:tcMar>
              <w:top w:type="dxa" w:w="80"/>
              <w:left w:type="dxa" w:w="100"/>
              <w:bottom w:type="dxa" w:w="80"/>
              <w:right w:type="dxa" w:w="100"/>
            </w:tcMar>
          </w:tcPr>
          <w:p>
            <w:r>
              <w:rPr>
                <w:b w:val="false"/>
                <w:bCs w:val="false"/>
                <w:color w:val="000000"/>
                <w:sz w:val="20"/>
                <w:szCs w:val="20"/>
              </w:rPr>
              <w:t xml:space="preserve">Match</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transaction_id, settlement_id, match_status (verified / exception), reason_code</w:t>
            </w:r>
          </w:p>
        </w:tc>
      </w:tr>
      <w:tr>
        <w:tc>
          <w:tcPr>
            <w:tcW w:type="dxa" w:w="3000"/>
            <w:tcMar>
              <w:top w:type="dxa" w:w="80"/>
              <w:left w:type="dxa" w:w="100"/>
              <w:bottom w:type="dxa" w:w="80"/>
              <w:right w:type="dxa" w:w="100"/>
            </w:tcMar>
          </w:tcPr>
          <w:p>
            <w:r>
              <w:rPr>
                <w:b w:val="false"/>
                <w:bCs w:val="false"/>
                <w:color w:val="000000"/>
                <w:sz w:val="20"/>
                <w:szCs w:val="20"/>
              </w:rPr>
              <w:t xml:space="preserve">Exception</w:t>
            </w:r>
          </w:p>
        </w:tc>
        <w:tc>
          <w:tcPr>
            <w:tcW w:type="dxa" w:w="6000"/>
            <w:tcMar>
              <w:top w:type="dxa" w:w="80"/>
              <w:left w:type="dxa" w:w="100"/>
              <w:bottom w:type="dxa" w:w="80"/>
              <w:right w:type="dxa" w:w="100"/>
            </w:tcMar>
          </w:tcPr>
          <w:p>
            <w:r>
              <w:rPr>
                <w:b w:val="false"/>
                <w:bCs w:val="false"/>
                <w:color w:val="000000"/>
                <w:sz w:val="20"/>
                <w:szCs w:val="20"/>
              </w:rPr>
              <w:t xml:space="preserve">match_id, reason_code, explanation_text (AI-generated), impact_rank, resolved_flag</w:t>
            </w:r>
          </w:p>
        </w:tc>
      </w:tr>
      <w:tr>
        <w:tc>
          <w:tcPr>
            <w:tcW w:type="dxa" w:w="3000"/>
            <w:shd w:fill="F2F2F2" w:color="auto" w:val="clear"/>
            <w:tcMar>
              <w:top w:type="dxa" w:w="80"/>
              <w:left w:type="dxa" w:w="100"/>
              <w:bottom w:type="dxa" w:w="80"/>
              <w:right w:type="dxa" w:w="100"/>
            </w:tcMar>
          </w:tcPr>
          <w:p>
            <w:r>
              <w:rPr>
                <w:b w:val="false"/>
                <w:bCs w:val="false"/>
                <w:color w:val="000000"/>
                <w:sz w:val="20"/>
                <w:szCs w:val="20"/>
              </w:rPr>
              <w:t xml:space="preserve">OrderStatusCheck</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order_id, expected_status, actual_status_from_api, checked_at, corrected_flag</w:t>
            </w:r>
          </w:p>
        </w:tc>
      </w:tr>
    </w:tbl>
    <w:p>
      <w:pPr>
        <w:pStyle w:val="Heading2"/>
        <w:spacing w:after="150" w:before="300"/>
      </w:pPr>
      <w:r>
        <w:rPr>
          <w:b/>
          <w:bCs/>
          <w:color w:val="2E74B5"/>
        </w:rPr>
        <w:t xml:space="preserve">5.2 Data Retention</w:t>
      </w:r>
    </w:p>
    <w:p>
      <w:pPr>
        <w:spacing w:after="160" w:line="276"/>
      </w:pPr>
      <w:r>
        <w:rPr>
          <w:sz w:val="22"/>
          <w:szCs w:val="22"/>
        </w:rPr>
        <w:t xml:space="preserve">For the MVP, all data is retained for the duration of the demonstration session in the local SQLite file. In the V2 production design, the append-only ledger pattern retains full history indefinitely to support audit and replay, per the PRD roadmap.</w:t>
      </w:r>
    </w:p>
    <w:p>
      <w:pPr>
        <w:pStyle w:val="Heading1"/>
        <w:pBdr>
          <w:bottom w:val="single" w:color="1F3864" w:sz="6" w:space="4"/>
        </w:pBdr>
        <w:spacing w:after="200" w:before="400"/>
      </w:pPr>
      <w:r>
        <w:rPr>
          <w:b/>
          <w:bCs/>
          <w:color w:val="1F3864"/>
        </w:rPr>
        <w:t xml:space="preserve">6. Other Requirements</w:t>
      </w:r>
    </w:p>
    <w:p>
      <w:pPr>
        <w:pStyle w:val="Heading2"/>
        <w:spacing w:after="150" w:before="300"/>
      </w:pPr>
      <w:r>
        <w:rPr>
          <w:b/>
          <w:bCs/>
          <w:color w:val="2E74B5"/>
        </w:rPr>
        <w:t xml:space="preserve">6.1 Compliance Considerations</w:t>
      </w:r>
    </w:p>
    <w:p>
      <w:pPr>
        <w:spacing w:after="160" w:line="276"/>
      </w:pPr>
      <w:r>
        <w:rPr>
          <w:sz w:val="22"/>
          <w:szCs w:val="22"/>
        </w:rPr>
        <w:t xml:space="preserve">Because this system touches payment data, it is designed to avoid storing sensitive cardholder data at any point (no PAN, CVV, or full card numbers are ever requested, transmitted, or stored), keeping it outside PCI-DSS cardholder data environment scope for the reconciliation use case. Production deployment would require a formal review against Razorpay's own data-handling policies before handling live merchant data.</w:t>
      </w:r>
    </w:p>
    <w:p>
      <w:pPr>
        <w:pStyle w:val="Heading2"/>
        <w:spacing w:after="150" w:before="300"/>
      </w:pPr>
      <w:r>
        <w:rPr>
          <w:b/>
          <w:bCs/>
          <w:color w:val="2E74B5"/>
        </w:rPr>
        <w:t xml:space="preserve">6.2 Environmental / Legal</w:t>
      </w:r>
    </w:p>
    <w:p>
      <w:pPr>
        <w:spacing w:after="160" w:line="276"/>
      </w:pPr>
      <w:r>
        <w:rPr>
          <w:sz w:val="22"/>
          <w:szCs w:val="22"/>
        </w:rPr>
        <w:t xml:space="preserve">Not applicable to this submission.</w:t>
      </w:r>
    </w:p>
    <w:p>
      <w:r>
        <w:br w:type="page"/>
      </w:r>
    </w:p>
    <w:p>
      <w:pPr>
        <w:pStyle w:val="Heading1"/>
        <w:pBdr>
          <w:bottom w:val="single" w:color="1F3864" w:sz="6" w:space="4"/>
        </w:pBdr>
        <w:spacing w:after="200" w:before="400"/>
      </w:pPr>
      <w:r>
        <w:rPr>
          <w:b/>
          <w:bCs/>
          <w:color w:val="1F3864"/>
        </w:rPr>
        <w:t xml:space="preserve">Appendix A — Requirement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tcMar>
              <w:top w:type="dxa" w:w="80"/>
              <w:left w:type="dxa" w:w="100"/>
              <w:bottom w:type="dxa" w:w="80"/>
              <w:right w:type="dxa" w:w="100"/>
            </w:tcMar>
          </w:tcPr>
          <w:p>
            <w:r>
              <w:rPr>
                <w:b/>
                <w:bCs/>
                <w:color w:val="FFFFFF"/>
                <w:sz w:val="20"/>
                <w:szCs w:val="20"/>
              </w:rPr>
              <w:t xml:space="preserve">Requirement ID</w:t>
            </w:r>
          </w:p>
        </w:tc>
        <w:tc>
          <w:tcPr>
            <w:tcW w:type="dxa" w:w="6000"/>
            <w:shd w:fill="1F3864" w:color="auto" w:val="clear"/>
            <w:tcMar>
              <w:top w:type="dxa" w:w="80"/>
              <w:left w:type="dxa" w:w="100"/>
              <w:bottom w:type="dxa" w:w="80"/>
              <w:right w:type="dxa" w:w="100"/>
            </w:tcMar>
          </w:tcPr>
          <w:p>
            <w:r>
              <w:rPr>
                <w:b/>
                <w:bCs/>
                <w:color w:val="FFFFFF"/>
                <w:sz w:val="20"/>
                <w:szCs w:val="20"/>
              </w:rPr>
              <w:t xml:space="preserve">Traces to Business Goal (PRD §3.1)</w:t>
            </w:r>
          </w:p>
        </w:tc>
      </w:tr>
      <w:tr>
        <w:tc>
          <w:tcPr>
            <w:tcW w:type="dxa" w:w="3000"/>
            <w:tcMar>
              <w:top w:type="dxa" w:w="80"/>
              <w:left w:type="dxa" w:w="100"/>
              <w:bottom w:type="dxa" w:w="80"/>
              <w:right w:type="dxa" w:w="100"/>
            </w:tcMar>
          </w:tcPr>
          <w:p>
            <w:r>
              <w:rPr>
                <w:b w:val="false"/>
                <w:bCs w:val="false"/>
                <w:color w:val="000000"/>
                <w:sz w:val="20"/>
                <w:szCs w:val="20"/>
              </w:rPr>
              <w:t xml:space="preserve">FR-1.1 – FR-1.6</w:t>
            </w:r>
          </w:p>
        </w:tc>
        <w:tc>
          <w:tcPr>
            <w:tcW w:type="dxa" w:w="6000"/>
            <w:tcMar>
              <w:top w:type="dxa" w:w="80"/>
              <w:left w:type="dxa" w:w="100"/>
              <w:bottom w:type="dxa" w:w="80"/>
              <w:right w:type="dxa" w:w="100"/>
            </w:tcMar>
          </w:tcPr>
          <w:p>
            <w:r>
              <w:rPr>
                <w:b w:val="false"/>
                <w:bCs w:val="false"/>
                <w:color w:val="000000"/>
                <w:sz w:val="20"/>
                <w:szCs w:val="20"/>
              </w:rPr>
              <w:t xml:space="preserve">Increase merchant trust and retention by closing the settlement transparency gap</w:t>
            </w:r>
          </w:p>
        </w:tc>
      </w:tr>
      <w:tr>
        <w:tc>
          <w:tcPr>
            <w:tcW w:type="dxa" w:w="3000"/>
            <w:shd w:fill="F2F2F2" w:color="auto" w:val="clear"/>
            <w:tcMar>
              <w:top w:type="dxa" w:w="80"/>
              <w:left w:type="dxa" w:w="100"/>
              <w:bottom w:type="dxa" w:w="80"/>
              <w:right w:type="dxa" w:w="100"/>
            </w:tcMar>
          </w:tcPr>
          <w:p>
            <w:r>
              <w:rPr>
                <w:b w:val="false"/>
                <w:bCs w:val="false"/>
                <w:color w:val="000000"/>
                <w:sz w:val="20"/>
                <w:szCs w:val="20"/>
              </w:rPr>
              <w:t xml:space="preserve">FR-2.1 – FR-2.5</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Reduce support tickets caused by stuck order status</w:t>
            </w:r>
          </w:p>
        </w:tc>
      </w:tr>
      <w:tr>
        <w:tc>
          <w:tcPr>
            <w:tcW w:type="dxa" w:w="3000"/>
            <w:tcMar>
              <w:top w:type="dxa" w:w="80"/>
              <w:left w:type="dxa" w:w="100"/>
              <w:bottom w:type="dxa" w:w="80"/>
              <w:right w:type="dxa" w:w="100"/>
            </w:tcMar>
          </w:tcPr>
          <w:p>
            <w:r>
              <w:rPr>
                <w:b w:val="false"/>
                <w:bCs w:val="false"/>
                <w:color w:val="000000"/>
                <w:sz w:val="20"/>
                <w:szCs w:val="20"/>
              </w:rPr>
              <w:t xml:space="preserve">FR-3.1 – FR-3.2</w:t>
            </w:r>
          </w:p>
        </w:tc>
        <w:tc>
          <w:tcPr>
            <w:tcW w:type="dxa" w:w="6000"/>
            <w:tcMar>
              <w:top w:type="dxa" w:w="80"/>
              <w:left w:type="dxa" w:w="100"/>
              <w:bottom w:type="dxa" w:w="80"/>
              <w:right w:type="dxa" w:w="100"/>
            </w:tcMar>
          </w:tcPr>
          <w:p>
            <w:r>
              <w:rPr>
                <w:b w:val="false"/>
                <w:bCs w:val="false"/>
                <w:color w:val="000000"/>
                <w:sz w:val="20"/>
                <w:szCs w:val="20"/>
              </w:rPr>
              <w:t xml:space="preserve">Ensure exceptions are explainable and prioritised, not just flagged</w:t>
            </w:r>
          </w:p>
        </w:tc>
      </w:tr>
      <w:tr>
        <w:tc>
          <w:tcPr>
            <w:tcW w:type="dxa" w:w="3000"/>
            <w:shd w:fill="F2F2F2" w:color="auto" w:val="clear"/>
            <w:tcMar>
              <w:top w:type="dxa" w:w="80"/>
              <w:left w:type="dxa" w:w="100"/>
              <w:bottom w:type="dxa" w:w="80"/>
              <w:right w:type="dxa" w:w="100"/>
            </w:tcMar>
          </w:tcPr>
          <w:p>
            <w:r>
              <w:rPr>
                <w:b w:val="false"/>
                <w:bCs w:val="false"/>
                <w:color w:val="000000"/>
                <w:sz w:val="20"/>
                <w:szCs w:val="20"/>
              </w:rPr>
              <w:t xml:space="preserve">FR-4.1 – FR-4.2</w:t>
            </w:r>
          </w:p>
        </w:tc>
        <w:tc>
          <w:tcPr>
            <w:tcW w:type="dxa" w:w="6000"/>
            <w:shd w:fill="F2F2F2" w:color="auto" w:val="clear"/>
            <w:tcMar>
              <w:top w:type="dxa" w:w="80"/>
              <w:left w:type="dxa" w:w="100"/>
              <w:bottom w:type="dxa" w:w="80"/>
              <w:right w:type="dxa" w:w="100"/>
            </w:tcMar>
          </w:tcPr>
          <w:p>
            <w:r>
              <w:rPr>
                <w:b w:val="false"/>
                <w:bCs w:val="false"/>
                <w:color w:val="000000"/>
                <w:sz w:val="20"/>
                <w:szCs w:val="20"/>
              </w:rPr>
              <w:t xml:space="preserve">Give merchants and Razorpay support a single source of truth</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2026-09-01T05:59:09.638Z</dcterms:created>
  <dcterms:modified xsi:type="dcterms:W3CDTF">2026-09-01T05:59:09.639Z</dcterms:modified>
</cp:coreProperties>
</file>

<file path=docProps/custom.xml><?xml version="1.0" encoding="utf-8"?>
<Properties xmlns="http://schemas.openxmlformats.org/officeDocument/2006/custom-properties" xmlns:vt="http://schemas.openxmlformats.org/officeDocument/2006/docPropsVTypes"/>
</file>