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선급금 결산 사전검토 업무처리지침</w:t>
      </w:r>
    </w:p>
    <w:p>
      <w:pPr>
        <w:pStyle w:val="Heading2"/>
      </w:pPr>
      <w:r>
        <w:t>1. 문서 성격</w:t>
      </w:r>
    </w:p>
    <w:p>
      <w:r>
        <w:t>이 문서는 선급금 결산 사전검토를 위한 업무처리 통합본이다.</w:t>
      </w:r>
    </w:p>
    <w:p>
      <w:pPr>
        <w:pStyle w:val="ListBullet"/>
      </w:pPr>
      <w:r>
        <w:t>**기준자료:** 사용자 제공 「결산 사전검토 안내」 최신 등록본</w:t>
      </w:r>
    </w:p>
    <w:p>
      <w:pPr>
        <w:pStyle w:val="ListBullet"/>
      </w:pPr>
      <w:r>
        <w:t>**업무 적용:** `(TEST1) 선급금 계정_검토결과 양식`, 예산비목·계정과목 매핑표, 결산조정대체전표 양식</w:t>
      </w:r>
    </w:p>
    <w:p>
      <w:pPr>
        <w:pStyle w:val="ListBullet"/>
      </w:pPr>
      <w:r>
        <w:t>**운영규칙:** 사용자가 검토 과정에서 확정한 ARC 업무처리 규칙</w:t>
      </w:r>
    </w:p>
    <w:p>
      <w:pPr>
        <w:pStyle w:val="ListBullet"/>
      </w:pPr>
      <w:r>
        <w:t>공식 안내문과 운영규칙이 충돌하면 담당자가 적용 기준과 기관 내부지침을 확인한 후 확정한다.</w:t>
      </w:r>
    </w:p>
    <w:p>
      <w:r>
        <w:rPr>
          <w:i/>
        </w:rPr>
        <w:t xml:space="preserve">현재 등록된 기준자료: `d61cb04ad50d79af.pdf`  </w:t>
      </w:r>
    </w:p>
    <w:p>
      <w:r>
        <w:rPr>
          <w:i/>
        </w:rPr>
        <w:t>새 안내문이 제공되면 기존본과 개정일·적용연도·계정코드·전표처리 내용을 비교한 후 이 문서를 갱신한다.</w:t>
      </w:r>
    </w:p>
    <w:p>
      <w:pPr>
        <w:pStyle w:val="Heading2"/>
      </w:pPr>
      <w:r>
        <w:t>2. 목적</w:t>
      </w:r>
    </w:p>
    <w:p>
      <w:r>
        <w:t>기말 선급금 계정의 잔액과 거래 성격을 확인하여 비용 또는 자산으로 계정대체하고, 익년 1월 1일 환원전표를 작성하여 선급금 계정을 복원한다.</w:t>
      </w:r>
    </w:p>
    <w:p>
      <w:pPr>
        <w:pStyle w:val="Heading2"/>
      </w:pPr>
      <w:r>
        <w:t>3. 사용 자료</w:t>
      </w:r>
    </w:p>
    <w:p>
      <w:r>
        <w:t>1. 선급금 계정원장</w:t>
      </w:r>
    </w:p>
    <w:p>
      <w:r>
        <w:t>2. `(TEST1) 선급금 계정_검토결과 양식`</w:t>
      </w:r>
    </w:p>
    <w:p>
      <w:r>
        <w:t>3. 예산비목·계정과목 매핑표</w:t>
      </w:r>
    </w:p>
    <w:p>
      <w:r>
        <w:t>4. 결산조정대체전표_선급금 양식</w:t>
      </w:r>
    </w:p>
    <w:p>
      <w:r>
        <w:t>5. 자산담당자 회신자료 및 관련 증빙</w:t>
      </w:r>
    </w:p>
    <w:p>
      <w:r>
        <w:t>파일명이 유사한 자료는 파일명만으로 판단하지 않고 시트명, 헤더, 컬럼 구조를 함께 확인한다.</w:t>
      </w:r>
    </w:p>
    <w:p>
      <w:pPr>
        <w:pStyle w:val="Heading2"/>
      </w:pPr>
      <w:r>
        <w:t>4. 검토결과 분류</w:t>
      </w:r>
    </w:p>
    <w:p>
      <w:r>
        <w:t>검토결과는 다음 네 가지를 구분한다.</w:t>
      </w:r>
    </w:p>
    <w:p>
      <w:pPr>
        <w:pStyle w:val="ListBullet"/>
      </w:pPr>
      <w:r>
        <w:t>비용</w:t>
      </w:r>
    </w:p>
    <w:p>
      <w:pPr>
        <w:pStyle w:val="ListBullet"/>
      </w:pPr>
      <w:r>
        <w:t>자산</w:t>
      </w:r>
    </w:p>
    <w:p>
      <w:pPr>
        <w:pStyle w:val="ListBullet"/>
      </w:pPr>
      <w:r>
        <w:t>대상제외</w:t>
      </w:r>
    </w:p>
    <w:p>
      <w:pPr>
        <w:pStyle w:val="ListBullet"/>
      </w:pPr>
      <w:r>
        <w:t>분류혼선</w:t>
      </w:r>
    </w:p>
    <w:p>
      <w:pPr>
        <w:pStyle w:val="Heading3"/>
      </w:pPr>
      <w:r>
        <w:t>4.1 대상제외</w:t>
      </w:r>
    </w:p>
    <w:p>
      <w:r>
        <w:t>거래처명·결의상세·사업ID 등 거래 연결정보를 확인하고, 차변 선급금 합계와 대변 선급금 합계가 일치하여 잔액이 0이면 연결된 차변·대변 행 전체를 `대상제외`로 분류한다.</w:t>
      </w:r>
    </w:p>
    <w:p>
      <w:r>
        <w:t>대변 행만 단독으로 대상제외 처리하지 않는다.</w:t>
      </w:r>
    </w:p>
    <w:p>
      <w:pPr>
        <w:pStyle w:val="Heading3"/>
      </w:pPr>
      <w:r>
        <w:t>4.2 분류혼선</w:t>
      </w:r>
    </w:p>
    <w:p>
      <w:r>
        <w:t>거래 연결이 명확하지 않거나 차변·대변 금액이 일치하지 않으면 임의로 비용·자산·대상제외로 확정하지 않고 연결된 행 전체를 `분류혼선`으로 표시한다.</w:t>
      </w:r>
    </w:p>
    <w:p>
      <w:pPr>
        <w:pStyle w:val="Heading3"/>
      </w:pPr>
      <w:r>
        <w:t>4.3 비용</w:t>
      </w:r>
    </w:p>
    <w:p>
      <w:r>
        <w:t>비목 및 세부항목코드를 매핑표와 대조하여 계정과목코드와 계정과목명을 입력한다. 관련 계정과목코드·계정과목명이 확인되면 해당 확인값을 사용한다.</w:t>
      </w:r>
    </w:p>
    <w:p>
      <w:pPr>
        <w:pStyle w:val="Heading3"/>
      </w:pPr>
      <w:r>
        <w:t>4.4 자산</w:t>
      </w:r>
    </w:p>
    <w:p>
      <w:r>
        <w:t>공사·건물·구축물·기계장치·장비 등 자산 대체 가능성이 있는 항목은 자산담당자 확인 대상으로 분류한다.</w:t>
      </w:r>
    </w:p>
    <w:p>
      <w:r>
        <w:t>담당자 회신이 `자산등재`로 확정된 경우 다음 계정을 사용한다.</w:t>
      </w:r>
    </w:p>
    <w:p>
      <w:pPr>
        <w:pStyle w:val="ListBullet"/>
      </w:pPr>
      <w:r>
        <w:t>**계정과목코드:** `22222`</w:t>
      </w:r>
    </w:p>
    <w:p>
      <w:pPr>
        <w:pStyle w:val="ListBullet"/>
      </w:pPr>
      <w:r>
        <w:t>**계정과목명:** `건설중인자산`</w:t>
      </w:r>
    </w:p>
    <w:p>
      <w:r>
        <w:t>이 확정값은 분류결과, 조정전표, 관련 화면과 산출물에 일관되게 반영한다.</w:t>
      </w:r>
    </w:p>
    <w:p>
      <w:pPr>
        <w:pStyle w:val="Heading2"/>
      </w:pPr>
      <w:r>
        <w:t>5. 정보 누락 처리</w:t>
      </w:r>
    </w:p>
    <w:p>
      <w:r>
        <w:t>필수 정보가 제공되지 않은 경우 다음 값을 임의로 생성하지 않는다.</w:t>
      </w:r>
    </w:p>
    <w:p>
      <w:pPr>
        <w:pStyle w:val="ListBullet"/>
      </w:pPr>
      <w:r>
        <w:t>계정과목코드</w:t>
      </w:r>
    </w:p>
    <w:p>
      <w:pPr>
        <w:pStyle w:val="ListBullet"/>
      </w:pPr>
      <w:r>
        <w:t>계정과목명</w:t>
      </w:r>
    </w:p>
    <w:p>
      <w:pPr>
        <w:pStyle w:val="ListBullet"/>
      </w:pPr>
      <w:r>
        <w:t>금액</w:t>
      </w:r>
    </w:p>
    <w:p>
      <w:pPr>
        <w:pStyle w:val="ListBullet"/>
      </w:pPr>
      <w:r>
        <w:t>비용·자산 분류</w:t>
      </w:r>
    </w:p>
    <w:p>
      <w:pPr>
        <w:pStyle w:val="ListBullet"/>
      </w:pPr>
      <w:r>
        <w:t>전표 계정</w:t>
      </w:r>
    </w:p>
    <w:p>
      <w:r>
        <w:t>필수 정보가 누락되면 `확인 필요` 또는 `분류혼선`으로 표시하고, 누락된 정보와 추가 확인자료를 명시한다.</w:t>
      </w:r>
    </w:p>
    <w:p>
      <w:pPr>
        <w:pStyle w:val="Heading2"/>
      </w:pPr>
      <w:r>
        <w:t>6. 담당자 검토 및 최종값</w:t>
      </w:r>
    </w:p>
    <w:p>
      <w:r>
        <w:t>1. AI 또는 규칙 기반 검토 결과를 제시한다.</w:t>
      </w:r>
    </w:p>
    <w:p>
      <w:r>
        <w:t>2. 자산 가능 항목을 자산담당자 검토목록으로 제공한다.</w:t>
      </w:r>
    </w:p>
    <w:p>
      <w:r>
        <w:t>3. 담당자 회신값을 입력한다.</w:t>
      </w:r>
    </w:p>
    <w:p>
      <w:r>
        <w:t>4. AI 제안값과 담당자 최종값을 별도 관리한다.</w:t>
      </w:r>
    </w:p>
    <w:p>
      <w:r>
        <w:t>5. 담당자 회신이 필요한 항목이 남아 있으면 최종 저장과 전표 생성을 확정하지 않는다.</w:t>
      </w:r>
    </w:p>
    <w:p>
      <w:pPr>
        <w:pStyle w:val="Heading2"/>
      </w:pPr>
      <w:r>
        <w:t>7. 결산조정대체전표</w:t>
      </w:r>
    </w:p>
    <w:p>
      <w:pPr>
        <w:pStyle w:val="Heading3"/>
      </w:pPr>
      <w:r>
        <w:t>7.1 선급금 대변</w:t>
      </w:r>
    </w:p>
    <w:p>
      <w:pPr>
        <w:pStyle w:val="ListBullet"/>
      </w:pPr>
      <w:r>
        <w:t>계정과목명: `선급금`</w:t>
      </w:r>
    </w:p>
    <w:p>
      <w:pPr>
        <w:pStyle w:val="ListBullet"/>
      </w:pPr>
      <w:r>
        <w:t>계정과목코드: `11111`</w:t>
      </w:r>
    </w:p>
    <w:p>
      <w:pPr>
        <w:pStyle w:val="ListBullet"/>
      </w:pPr>
      <w:r>
        <w:t>차대구분: 대변</w:t>
      </w:r>
    </w:p>
    <w:p>
      <w:pPr>
        <w:pStyle w:val="ListBullet"/>
      </w:pPr>
      <w:r>
        <w:t>대변금액: 원장 차변 선급금 금액</w:t>
      </w:r>
    </w:p>
    <w:p>
      <w:pPr>
        <w:pStyle w:val="Heading3"/>
      </w:pPr>
      <w:r>
        <w:t>7.2 대응 계정 차변</w:t>
      </w:r>
    </w:p>
    <w:p>
      <w:pPr>
        <w:pStyle w:val="ListBullet"/>
      </w:pPr>
      <w:r>
        <w:t>비용 확정: 매핑표상 계정과목코드·계정과목명</w:t>
      </w:r>
    </w:p>
    <w:p>
      <w:pPr>
        <w:pStyle w:val="ListBullet"/>
      </w:pPr>
      <w:r>
        <w:t>자산 확정: `22222 / 건설중인자산`</w:t>
      </w:r>
    </w:p>
    <w:p>
      <w:pPr>
        <w:pStyle w:val="ListBullet"/>
      </w:pPr>
      <w:r>
        <w:t>차대구분: 차변</w:t>
      </w:r>
    </w:p>
    <w:p>
      <w:pPr>
        <w:pStyle w:val="ListBullet"/>
      </w:pPr>
      <w:r>
        <w:t>차변금액: 원장 차변 선급금 금액</w:t>
      </w:r>
    </w:p>
    <w:p>
      <w:r>
        <w:t>`대상제외`는 전표 대상에서 제외한다. `분류혼선`은 담당자 확인 전 확정 전표에 포함하지 않는다.</w:t>
      </w:r>
    </w:p>
    <w:p>
      <w:pPr>
        <w:pStyle w:val="Heading2"/>
      </w:pPr>
      <w:r>
        <w:t>8. 익년 1월 1일 환원전표</w:t>
      </w:r>
    </w:p>
    <w:p>
      <w:r>
        <w:t>1. 사업ID별 계속사업 여부를 확인한다.</w:t>
      </w:r>
    </w:p>
    <w:p>
      <w:r>
        <w:t>2. 기본값은 종료사업으로 한다.</w:t>
      </w:r>
    </w:p>
    <w:p>
      <w:r>
        <w:t>3. 계속사업은 원래 사업ID를 유지한다.</w:t>
      </w:r>
    </w:p>
    <w:p>
      <w:r>
        <w:t>4. 종료사업은 사업ID를 `25-10-A-11`로 변경한다.</w:t>
      </w:r>
    </w:p>
    <w:p>
      <w:r>
        <w:t>5. 원 조정전표의 차변·대변을 반대로 한다.</w:t>
      </w:r>
    </w:p>
    <w:p>
      <w:r>
        <w:t>6. 원 조정전표에서 자산 계정이 `22222 / 건설중인자산`인 경우, 환원전표의 **대변 계정**은 다음 방식으로 결정한다.</w:t>
      </w:r>
    </w:p>
    <w:p>
      <w:r>
        <w:t xml:space="preserve">   - `(TEST1) 선급금 계정_검토결과 양식`의 원장 행에서 비목·세부항목을 확인한다.</w:t>
      </w:r>
    </w:p>
    <w:p>
      <w:r>
        <w:t xml:space="preserve">   - 예산비목·계정과목 매핑표에서 해당 비목·세부항목을 다시 조회한다.</w:t>
      </w:r>
    </w:p>
    <w:p>
      <w:r>
        <w:t xml:space="preserve">   - 매핑표의 계정과목코드·계정과목명을 환원전표 대변에 입력한다.</w:t>
      </w:r>
    </w:p>
    <w:p>
      <w:r>
        <w:t xml:space="preserve">   - 매핑되지 않으면 임의 계정을 입력하지 않고 `매핑 확인 필요`로 표시한다.</w:t>
      </w:r>
    </w:p>
    <w:p>
      <w:pPr>
        <w:pStyle w:val="Heading2"/>
      </w:pPr>
      <w:r>
        <w:t>9. 필수 산출물</w:t>
      </w:r>
    </w:p>
    <w:p>
      <w:pPr>
        <w:pStyle w:val="ListBullet"/>
      </w:pPr>
      <w:r>
        <w:t>`(TEST1) 선급금 계정_검토결과 양식`</w:t>
      </w:r>
    </w:p>
    <w:p>
      <w:pPr>
        <w:pStyle w:val="ListBullet"/>
      </w:pPr>
      <w:r>
        <w:t>자산등재여부 검토목록</w:t>
      </w:r>
    </w:p>
    <w:p>
      <w:pPr>
        <w:pStyle w:val="ListBullet"/>
      </w:pPr>
      <w:r>
        <w:t>자산담당자 메일 초안</w:t>
      </w:r>
    </w:p>
    <w:p>
      <w:pPr>
        <w:pStyle w:val="ListBullet"/>
      </w:pPr>
      <w:r>
        <w:t>선급금 계정 분류결과</w:t>
      </w:r>
    </w:p>
    <w:p>
      <w:pPr>
        <w:pStyle w:val="ListBullet"/>
      </w:pPr>
      <w:r>
        <w:t>결산조정대체전표 MD 및 Excel</w:t>
      </w:r>
    </w:p>
    <w:p>
      <w:pPr>
        <w:pStyle w:val="ListBullet"/>
      </w:pPr>
      <w:r>
        <w:t>익년 환원전표 MD 및 Excel</w:t>
      </w:r>
    </w:p>
    <w:p>
      <w:pPr>
        <w:pStyle w:val="ListBullet"/>
      </w:pPr>
      <w:r>
        <w:t>원장 행 식별자·분류근거·사용자 수정 전후 값·승인 이력</w:t>
      </w:r>
    </w:p>
    <w:p>
      <w:pPr>
        <w:pStyle w:val="Heading2"/>
      </w:pPr>
      <w:r>
        <w:t>10. 검증 원칙</w:t>
      </w:r>
    </w:p>
    <w:p>
      <w:pPr>
        <w:pStyle w:val="ListBullet"/>
      </w:pPr>
      <w:r>
        <w:t>차변·대변 합계를 프로그램으로 계산하고 일치 여부를 확인한다.</w:t>
      </w:r>
    </w:p>
    <w:p>
      <w:pPr>
        <w:pStyle w:val="ListBullet"/>
      </w:pPr>
      <w:r>
        <w:t>원장 원행과 매핑표 근거를 추적할 수 있어야 한다.</w:t>
      </w:r>
    </w:p>
    <w:p>
      <w:pPr>
        <w:pStyle w:val="ListBullet"/>
      </w:pPr>
      <w:r>
        <w:t>AI 제안값을 담당자 최종값으로 자동 대체하지 않는다.</w:t>
      </w:r>
    </w:p>
    <w:p>
      <w:pPr>
        <w:pStyle w:val="ListBullet"/>
      </w:pPr>
      <w:r>
        <w:t>확인되지 않은 계정코드나 금액을 임의로 채우지 않는다.</w:t>
      </w:r>
    </w:p>
    <w:p>
      <w:pPr>
        <w:pStyle w:val="ListBullet"/>
      </w:pPr>
      <w:r>
        <w:t>금액은 화면과 Excel에서 우측 정렬하고 천 단위 구분을 적용한다.</w:t>
      </w:r>
    </w:p>
    <w:p>
      <w:pPr>
        <w:pStyle w:val="ListBullet"/>
      </w:pPr>
      <w:r>
        <w:t>본 문서는 최종 회계판단을 대신하지 않으며, 공식 기준서·기관 회계정책·담당자 확인을 거쳐 확정한다.</w:t>
      </w:r>
    </w:p>
    <w:p>
      <w:pPr>
        <w:pStyle w:val="Heading2"/>
      </w:pPr>
      <w:r>
        <w:t>11. 변경 이력</w:t>
      </w:r>
    </w:p>
    <w:p>
      <w:pPr>
        <w:pStyle w:val="ListBullet"/>
      </w:pPr>
      <w:r>
        <w:t>자산 확정 계정 `22222 / 건설중인자산` 반영</w:t>
      </w:r>
    </w:p>
    <w:p>
      <w:pPr>
        <w:pStyle w:val="ListBullet"/>
      </w:pPr>
      <w:r>
        <w:t>익년 환원전표 자산 대변 계정의 비목·세부항목 재매핑 규칙 반영</w:t>
      </w:r>
    </w:p>
    <w:p>
      <w:pPr>
        <w:pStyle w:val="ListBullet"/>
      </w:pPr>
      <w:r>
        <w:t>정보 미제공 시 임의 확정 금지 규칙 반영</w:t>
      </w:r>
    </w:p>
    <w:p>
      <w:pPr>
        <w:pStyle w:val="ListBullet"/>
      </w:pPr>
      <w:r>
        <w:t>관련 계정과목코드·계정과목명 확인 시 해당 값 우선 사용 규칙 반영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