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4261D"/>
                <w:sz w:val="24"/>
                <w:szCs w:val="24"/>
              </w:rPr>
              <w:t xml:space="preserve">DAMA S.R.L.</w:t>
            </w:r>
          </w:p>
          <w:p>
            <w:r>
              <w:rPr>
                <w:color w:val="566158"/>
                <w:sz w:val="17"/>
                <w:szCs w:val="17"/>
              </w:rPr>
              <w:t xml:space="preserve">Via Crescenzio 58, 00193 Roma (RM)</w:t>
            </w:r>
          </w:p>
          <w:p>
            <w:r>
              <w:rPr>
                <w:color w:val="566158"/>
                <w:sz w:val="17"/>
                <w:szCs w:val="17"/>
              </w:rPr>
              <w:t xml:space="preserve">P. IVA e C.F. 17947161000</w:t>
            </w:r>
          </w:p>
          <w:p>
            <w:r>
              <w:rPr>
                <w:color w:val="566158"/>
                <w:sz w:val="17"/>
                <w:szCs w:val="17"/>
              </w:rPr>
              <w:t xml:space="preserve">REA RM-1751463</w:t>
            </w:r>
          </w:p>
          <w:p>
            <w:r>
              <w:rPr>
                <w:color w:val="566158"/>
                <w:sz w:val="17"/>
                <w:szCs w:val="17"/>
              </w:rPr>
              <w:t xml:space="preserve">Tel. 392 305 1950</w:t>
            </w:r>
          </w:p>
          <w:p>
            <w:r>
              <w:rPr>
                <w:color w:val="566158"/>
                <w:sz w:val="17"/>
                <w:szCs w:val="17"/>
              </w:rPr>
              <w:t xml:space="preserve">info@damagroup.it</w:t>
            </w:r>
          </w:p>
          <w:p>
            <w:r>
              <w:rPr>
                <w:color w:val="566158"/>
                <w:sz w:val="17"/>
                <w:szCs w:val="17"/>
              </w:rPr>
              <w:t xml:space="preserve">PEC dama25@pec.it</w:t>
            </w:r>
          </w:p>
        </w:tc>
        <w:tc>
          <w:tcPr>
            <w:tcW w:type="dxa" w:w="4819"/>
            <w:tcBorders>
              <w:top w:val="none" w:color="FFFFFF" w:sz="0"/>
              <w:left w:val="single" w:color="14532D" w:sz="12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7A5C12"/>
                <w:spacing w:val="20"/>
                <w:sz w:val="15"/>
                <w:szCs w:val="15"/>
              </w:rPr>
              <w:t xml:space="preserve">SPETTABILE</w:t>
            </w:r>
          </w:p>
          <w:p>
            <w:r>
              <w:rPr>
                <w:b/>
                <w:bCs/>
                <w:sz w:val="21"/>
                <w:szCs w:val="21"/>
                <w:highlight w:val="yellow"/>
              </w:rPr>
              <w:t xml:space="preserve">[Comune di … / Studio …]</w:t>
            </w:r>
          </w:p>
          <w:p>
            <w:r>
              <w:rPr>
                <w:color w:val="566158"/>
                <w:sz w:val="18"/>
                <w:szCs w:val="18"/>
                <w:highlight w:val="yellow"/>
              </w:rPr>
              <w:t xml:space="preserve">[Ufficio tecnico / Settore ambiente]</w:t>
            </w:r>
          </w:p>
          <w:p>
            <w:r>
              <w:rPr>
                <w:color w:val="566158"/>
                <w:sz w:val="18"/>
                <w:szCs w:val="18"/>
                <w:highlight w:val="yellow"/>
              </w:rPr>
              <w:t xml:space="preserve">[Indirizzo]</w:t>
            </w:r>
          </w:p>
          <w:p>
            <w:r>
              <w:rPr>
                <w:color w:val="566158"/>
                <w:sz w:val="18"/>
                <w:szCs w:val="18"/>
                <w:highlight w:val="yellow"/>
              </w:rPr>
              <w:t xml:space="preserve">[CAP, Città (Provincia)]</w:t>
            </w:r>
          </w:p>
          <w:p>
            <w:r>
              <w:rPr>
                <w:color w:val="566158"/>
                <w:sz w:val="18"/>
                <w:szCs w:val="18"/>
                <w:highlight w:val="yellow"/>
              </w:rPr>
              <w:t xml:space="preserve">[PEC]</w:t>
            </w:r>
          </w:p>
          <w:p>
            <w:r>
              <w:rPr>
                <w:color w:val="566158"/>
                <w:sz w:val="18"/>
                <w:szCs w:val="18"/>
                <w:highlight w:val="yellow"/>
              </w:rPr>
              <w:t xml:space="preserve">[Alla c.a. di …]</w:t>
            </w:r>
          </w:p>
        </w:tc>
      </w:tr>
    </w:tbl>
    <w:p>
      <w:pPr>
        <w:pBdr>
          <w:bottom w:val="single" w:color="DDE3DE" w:sz="4" w:space="8"/>
        </w:pBdr>
        <w:spacing w:after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shd w:fill="F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66158"/>
                <w:spacing w:val="10"/>
                <w:sz w:val="15"/>
                <w:szCs w:val="15"/>
              </w:rPr>
              <w:t xml:space="preserve">OFFERTA N.</w:t>
            </w:r>
          </w:p>
          <w:p>
            <w:r>
              <w:rPr>
                <w:b/>
                <w:bCs/>
                <w:sz w:val="20"/>
                <w:szCs w:val="20"/>
                <w:highlight w:val="yellow"/>
              </w:rPr>
              <w:t xml:space="preserve">[anno/numero]</w:t>
            </w:r>
          </w:p>
        </w:tc>
        <w:tc>
          <w:tcPr>
            <w:tcW w:type="dxa" w:w="3212"/>
            <w:shd w:fill="F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66158"/>
                <w:spacing w:val="10"/>
                <w:sz w:val="15"/>
                <w:szCs w:val="15"/>
              </w:rPr>
              <w:t xml:space="preserve">DATA</w:t>
            </w:r>
          </w:p>
          <w:p>
            <w:r>
              <w:rPr>
                <w:b/>
                <w:bCs/>
                <w:sz w:val="20"/>
                <w:szCs w:val="20"/>
                <w:highlight w:val="yellow"/>
              </w:rPr>
              <w:t xml:space="preserve">[gg/mm/aaaa]</w:t>
            </w:r>
          </w:p>
        </w:tc>
        <w:tc>
          <w:tcPr>
            <w:tcW w:type="dxa" w:w="3212"/>
            <w:shd w:fill="F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66158"/>
                <w:spacing w:val="10"/>
                <w:sz w:val="15"/>
                <w:szCs w:val="15"/>
              </w:rPr>
              <w:t xml:space="preserve">VALIDITÀ</w:t>
            </w:r>
          </w:p>
          <w:p>
            <w:r>
              <w:rPr>
                <w:b/>
                <w:bCs/>
                <w:sz w:val="20"/>
                <w:szCs w:val="20"/>
                <w:highlight w:val="yellow"/>
              </w:rPr>
              <w:t xml:space="preserve">[60]</w:t>
            </w:r>
            <w:r>
              <w:rPr>
                <w:b/>
                <w:bCs/>
                <w:sz w:val="20"/>
                <w:szCs w:val="20"/>
              </w:rPr>
              <w:t xml:space="preserve"> giorni dalla data</w:t>
            </w:r>
          </w:p>
        </w:tc>
      </w:tr>
    </w:tbl>
    <w:p>
      <w:pPr>
        <w:spacing w:after="40" w:before="400"/>
      </w:pPr>
      <w:r>
        <w:rPr>
          <w:b/>
          <w:bCs/>
          <w:color w:val="7A5C12"/>
          <w:spacing w:val="20"/>
          <w:sz w:val="15"/>
          <w:szCs w:val="15"/>
        </w:rPr>
        <w:t xml:space="preserve">OFFERTA COMMERCIALE</w:t>
      </w:r>
    </w:p>
    <w:p>
      <w:pPr>
        <w:spacing w:after="40" w:before="60" w:line="240" w:lineRule="auto"/>
      </w:pPr>
      <w:r>
        <w:rPr>
          <w:b/>
          <w:bCs/>
          <w:color w:val="16211C"/>
          <w:sz w:val="48"/>
          <w:szCs w:val="48"/>
        </w:rPr>
        <w:t xml:space="preserve">ArborLab</w:t>
      </w:r>
    </w:p>
    <w:p>
      <w:pPr>
        <w:spacing w:after="240"/>
      </w:pPr>
      <w:r>
        <w:rPr>
          <w:color w:val="566158"/>
          <w:sz w:val="26"/>
          <w:szCs w:val="26"/>
        </w:rPr>
        <w:t xml:space="preserve">Il programma per la gestione del patrimonio verde</w:t>
      </w:r>
    </w:p>
    <w:p>
      <w:pPr>
        <w:spacing w:after="120"/>
      </w:pPr>
      <w:r>
        <w:rPr>
          <w:b/>
          <w:bCs/>
        </w:rPr>
        <w:t xml:space="preserve">Oggetto:</w:t>
      </w:r>
      <w:r>
        <w:t xml:space="preserve"> fornitura del programma ArborLab per la gestione del patrimonio verde, comprensiva di attivazione, importazione dei dati, formazione, servizio di hosting e assistenza. </w:t>
      </w:r>
      <w:r>
        <w:rPr>
          <w:highlight w:val="yellow"/>
        </w:rPr>
        <w:t xml:space="preserve">[Riferimento: vostra richiesta del …, CIG …]</w:t>
      </w:r>
    </w:p>
    <w:p>
      <w:pPr>
        <w:keepNext/>
        <w:pBdr>
          <w:bottom w:val="single" w:color="14532D" w:sz="12" w:space="4"/>
        </w:pBdr>
        <w:spacing w:after="120" w:before="360"/>
      </w:pPr>
      <w:r>
        <w:rPr>
          <w:b/>
          <w:bCs/>
          <w:color w:val="14261D"/>
          <w:sz w:val="26"/>
          <w:szCs w:val="26"/>
        </w:rPr>
        <w:t xml:space="preserve">1. Che cos'è ArborLab</w:t>
      </w:r>
    </w:p>
    <w:p>
      <w:pPr>
        <w:spacing w:after="120"/>
      </w:pPr>
      <w:r>
        <w:t xml:space="preserve">ArborLab è il programma di DAMA S.R.L. per censire e gestire il verde pubblico. Raccoglie in un unico archivio alberi, aree verdi e arredi, con misure, fotografie, valutazioni di stabilità e interventi eseguiti. Dallo stesso archivio si preparano le consegne nei formati richiesti dai Criteri Ambientali Minimi, le perizie, gli ordini di lavoro con preventivi e SAL, i registri e il portale per i cittadini.</w:t>
      </w:r>
    </w:p>
    <w:p>
      <w:pPr>
        <w:spacing w:after="120"/>
      </w:pPr>
      <w:r>
        <w:t xml:space="preserve">Il programma si usa dal computer in ufficio, dal telefono in campo, anche senza copertura di rete, e tramite i portali dedicati ai cittadini, all'ufficio tecnico e alle imprese. I dati restano di proprietà dell'ente e possono essere esportati in qualsiasi momento in formati aperti, senza costi aggiuntivi.</w:t>
      </w:r>
    </w:p>
    <w:p>
      <w:pPr>
        <w:keepNext/>
        <w:pBdr>
          <w:bottom w:val="single" w:color="14532D" w:sz="12" w:space="4"/>
        </w:pBdr>
        <w:spacing w:after="120" w:before="360"/>
      </w:pPr>
      <w:r>
        <w:rPr>
          <w:b/>
          <w:bCs/>
          <w:color w:val="14261D"/>
          <w:sz w:val="26"/>
          <w:szCs w:val="26"/>
        </w:rPr>
        <w:t xml:space="preserve">2. Oggetto della fornitura</w:t>
      </w:r>
    </w:p>
    <w:p>
      <w:pPr>
        <w:spacing w:after="120"/>
      </w:pPr>
      <w:r>
        <w:t xml:space="preserve">La fornitura comprende l'uso del programma con tutte le funzioni descritte di seguito, per </w:t>
      </w:r>
      <w:r>
        <w:rPr>
          <w:b/>
          <w:bCs/>
          <w:highlight w:val="yellow"/>
        </w:rPr>
        <w:t xml:space="preserve">[numero]</w:t>
      </w:r>
      <w:r>
        <w:rPr>
          <w:b/>
          <w:bCs/>
        </w:rPr>
        <w:t xml:space="preserve"> utenti</w:t>
      </w:r>
      <w:r>
        <w:t xml:space="preserve"> e senza limiti al numero di elementi censiti, per la durata indicata al punto 5.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2.1 Patrimonio, mappa e territorio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Elenco di tutti gli elementi censiti, con ricerca per numero di cartellino, specie, area o committente e filtri per trovare subito gli alberi con la verifica di stabilità scaduta o mai valutati. Le ricerche più usate si possono salvare.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Mappa con gli elementi divisi per livelli, chiome disegnate alla dimensione reale e numero del cartellino accanto a ogni albero. Dalla mappa si misurano distanze e superfici e si stampa una tavola con scala e legenda. Come sfondo si possono usare l'ortofoto e la cartografia del Comune.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Organizzazione del territorio in committenti, sedi, località e aree, con superfici calcolate automaticamente, vincoli con il documento allegato e contratti con CIG, CUP e importo.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Catalogo dei 387 tipi di elemento previsti dal Modello Dati ministeriale per il censimento del verde urbano, con la possibilità di aggiungere campi propri.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Stampa del cartellino con codice QR per ogni elemento.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Importazione di censimenti già esistenti in Excel, CSV, GeoJSON o formato CAM, con anteprima prima del salvataggio.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Esportazione in Excel, CSV, GeoJSON e Shapefile, e consegna nel formato CAM con le codifiche ministeriali, il sistema di riferimento RDN2008 e le fotografie.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2.2 Alberi e valutazioni di stabilità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Scheda di ogni albero con specie, misure, età, stato vegetativo, posizione, bersaglio, tutori e consolidamenti, date di messa a dimora e di abbattimento. Gli alberi monumentali, tutelati o dedicati sono segnalati.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Storia completa di ogni albero, con rilievi, modifiche, valutazioni, lavori, segnalazioni e fotografie in ordine di data e con il nome di chi li ha eseguiti.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Valutazioni di stabilità (VTA) con difetti, bersagli, classe di propensione al cedimento, prescrizioni e data della verifica successiva. Le analisi strumentali si allegano con il loro referto.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Perizia di stabilità in PDF con numero di protocollo, fotografie e spazio per la firma. Una volta validata, la perizia non si può più modificare.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Scadenzario dei ricontrolli, che si trasformano in ordini di lavoro con un clic.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Bilancio arboreo previsto dalla legge 10/2013, stampabile per il periodo richiesto.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Stima dei benefici ambientali di ogni albero (CO2 assorbita, ossigeno prodotto, polveri trattenute, pioggia intercettata), con indicazione del metodo di calcolo. Sul portale pubblico compaiono solo se l'ente lo decide.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2.3 App di campo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per telefono che si installa dal browser e funziona anche senza copertura di rete. I dati vengono inviati appena torna il segnale.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Rilievo di nuovi alberi con posizione GPS, specie, misure, stato vegetativo, fotografie e cartellino.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Creazione di nuove aree direttamente dal campo.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Aggiornamento degli elementi già censiti, con misure, fotografie e lettura del cartellino con la fotocamera o con un lettore esterno.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Elenco dei lavori assegnati alla squadra, con registrazione di ore, quantità, mezzi e materiali. I lavori del giorno sono ordinati per vicinanza.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Compilazione delle ispezioni e invio delle segnalazioni dal posto.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Accesso riservato al personale delle ditte esterne, che vede e rendiconta solo i lavori affidati alla propria squadra.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2.4 Lavori e contabilità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 "Oggi" con le attività da svolgere in ordine di urgenza: lavori in ritardo, ispezioni scadute, segnalazioni da gestire, patentini e ricontrolli in scadenza. Lo stesso riepilogo arriva ogni mattina per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Ordini di lavoro con alberi coinvolti, squadra, priorità e stato di avanzamento. Ogni ordine ha una pagina con quanto fatto e quanto manca, consuntivo, controlli di qualità, mappa e cronologia.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Visualizzazione degli ordini in elenco, in agenda per squadra e nel diagramma di Gantt. L'agenda si consulta anche dal calendario del telefono.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Listini con prezzi unitari, spese generali e oneri di sicurezza. Le quantità si ricavano direttamente dalla mappa.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Preventivi in PDF che, una volta accettati, diventano ordini di lavoro.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 di avanzamento lavori (SAL) con IVA e spese generali, e registrazione di fatturazione e incassi.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Piani di manutenzione pluriennali che generano gli ordini alle scadenze previste.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Gestione di squadre interne e imprese appaltatrici. L'impresa ha un proprio accesso per vedere i lavori affidati e chiedere di spostarli.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Statistiche sul patrimonio, sulle valutazioni, sui lavori e sulle segnalazioni.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2.5 Controlli e registri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Ispezioni con liste di controllo per aree o attrezzature, scadenzario e verbale in PDF. Le risposte negative aprono una non conformità. Per le aree gioco sono disponibili le schede degli attrezzi e le liste basate sulla norma EN 1176.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Gestione delle non conformità fino alla chiusura e verbale di controllo qualità a fine lavoro.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Segnalazioni da colleghi, ufficio tecnico o cittadini, con tempi di intervento fissati in base alla gravità.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dei trattamenti fitosanitari, stampabile per anno.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Scadenzario di patentini, abilitazioni e certificati del personale.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Impianti di irrigazione con settori, programmi e letture del contatore, per individuare subito i consumi anomali.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Relazione annuale sul verde per ogni committente e scheda della località con planimetrie.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2.6 Documenti e marche temporali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Sezione Documenti che raccoglie perizie, verbali, preventivi, SAL ed esportazioni, con la produzione a richiesta di bilancio arboreo, relazione annuale e registro fitosanitari.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Dieci documenti stampabili in PDF: scheda dell'elemento, cartellino QR, perizia di stabilità, bilancio arboreo, verbale di ispezione, registro fitosanitari, preventivo, SAL, scheda della località e relazione annuale.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 temporale su perizie, verbali e registri tramite un servizio accreditato, che ne certifica la data. Il programma conserva il documento marcato e ne verifica l'integrità. Le marche si acquistano da DAMA S.R.L. a pacchetti (vedi punto 5).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2.7 Portali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Portale pubblico del Comune</w:t>
      </w:r>
      <w:r>
        <w:t xml:space="preserve">, con indirizzo proprio, stemma, colori, fotografia di copertina e recapiti dell'ufficio. Il cittadino inserisce il numero del cartellino, o inquadra il QR, e consulta la scheda dell'albero con foto, specie, misure e interventi. La mappa mostra lo stato di ogni pianta. È il Comune a decidere cosa pubblicare, e le note interne non vengono mai mostrate. Il portale non usa cookie.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Area riservata dell'ufficio tecnico</w:t>
      </w:r>
      <w:r>
        <w:t xml:space="preserve">, da cui il Comune consulta la mappa del proprio territorio, l'elenco degli alberi, i lavori fatti e in programma, le segnalazioni e le perizie, e invia richieste di intervento.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Portale delle imprese appaltatrici</w:t>
      </w:r>
      <w:r>
        <w:t xml:space="preserve">, con accesso dedicato ai soli lavori affidati.</w:t>
      </w:r>
    </w:p>
    <w:p>
      <w:pPr>
        <w:keepNext/>
        <w:spacing w:after="80" w:before="220"/>
      </w:pPr>
      <w:r>
        <w:rPr>
          <w:b/>
          <w:bCs/>
          <w:color w:val="14261D"/>
          <w:sz w:val="21"/>
          <w:szCs w:val="21"/>
        </w:rPr>
        <w:t xml:space="preserve">2.8 Sicurezza e dati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 per ruolo (amministratore, tecnico, operatore, cliente, impresa) e possibilità di creare ruoli personalizzati.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 in due passaggi con codice sul telefono, attivabile per tutti gli utenti.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Storico di ogni modifica con data e autore. I dati eliminati restano in archivio.</w:t>
      </w:r>
    </w:p>
    <w:p>
      <w:pPr>
        <w:keepNext/>
        <w:pBdr>
          <w:bottom w:val="single" w:color="14532D" w:sz="12" w:space="4"/>
        </w:pBdr>
        <w:spacing w:after="120" w:before="360"/>
      </w:pPr>
      <w:r>
        <w:rPr>
          <w:b/>
          <w:bCs/>
          <w:color w:val="14261D"/>
          <w:sz w:val="26"/>
          <w:szCs w:val="26"/>
        </w:rPr>
        <w:t xml:space="preserve">3. Servizi compresi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Attivazione</w:t>
      </w:r>
      <w:r>
        <w:t xml:space="preserve">: creazione degli utenti e impostazione dei dati dell'ente.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Importazione dei dati esistenti</w:t>
      </w:r>
      <w:r>
        <w:t xml:space="preserve"> da Excel, CSV, GeoJSON o formato CAM, con verifica insieme all'ufficio prima del caricamento definitivo.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Formazione</w:t>
      </w:r>
      <w:r>
        <w:t xml:space="preserve">: </w:t>
      </w:r>
      <w:r>
        <w:rPr>
          <w:highlight w:val="yellow"/>
        </w:rPr>
        <w:t xml:space="preserve">[n]</w:t>
      </w:r>
      <w:r>
        <w:t xml:space="preserve"> ore per l'ufficio tecnico e </w:t>
      </w:r>
      <w:r>
        <w:rPr>
          <w:highlight w:val="yellow"/>
        </w:rPr>
        <w:t xml:space="preserve">[n]</w:t>
      </w:r>
      <w:r>
        <w:t xml:space="preserve"> ore per gli operatori di campo, </w:t>
      </w:r>
      <w:r>
        <w:rPr>
          <w:highlight w:val="yellow"/>
        </w:rPr>
        <w:t xml:space="preserve">[in presenza / da remoto]</w:t>
      </w:r>
      <w:r>
        <w:t xml:space="preserve">. Il programma contiene una guida all'uso e viene fornito un manuale operativo.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</w:t>
      </w:r>
      <w:r>
        <w:t xml:space="preserve"> su server in Italia, con collegamento protetto, copie di sicurezza giornaliere e aggiornamenti del programma inclusi nel canone.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Assistenza</w:t>
      </w:r>
      <w:r>
        <w:t xml:space="preserve"> telefonica e via email nei giorni lavorativi </w:t>
      </w:r>
      <w:r>
        <w:rPr>
          <w:highlight w:val="yellow"/>
        </w:rPr>
        <w:t xml:space="preserve">[dalle … alle …]</w:t>
      </w:r>
      <w:r>
        <w:t xml:space="preserve">, con risposta entro </w:t>
      </w:r>
      <w:r>
        <w:rPr>
          <w:highlight w:val="yellow"/>
        </w:rPr>
        <w:t xml:space="preserve">[n]</w:t>
      </w:r>
      <w:r>
        <w:t xml:space="preserve"> ore lavorative.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Portale pubblico del Comune</w:t>
      </w:r>
      <w:r>
        <w:t xml:space="preserve">, attivato quando l'ente lo ritiene opportuno.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Ambiente di prova</w:t>
      </w:r>
      <w:r>
        <w:t xml:space="preserve"> con dati dimostrativi, per la formazione prima dell'avvio.</w:t>
      </w:r>
    </w:p>
    <w:p>
      <w:pPr>
        <w:keepNext/>
        <w:pBdr>
          <w:bottom w:val="single" w:color="14532D" w:sz="12" w:space="4"/>
        </w:pBdr>
        <w:spacing w:after="120" w:before="360"/>
      </w:pPr>
      <w:r>
        <w:rPr>
          <w:b/>
          <w:bCs/>
          <w:color w:val="14261D"/>
          <w:sz w:val="26"/>
          <w:szCs w:val="26"/>
        </w:rPr>
        <w:t xml:space="preserve">4. Non compreso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Rilievo in campo, valutazioni di stabilità e stampa dei cartellini, che possono essere oggetto di offerta separata.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Telefoni, lettori di codici e connessione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Personalizzazioni del programma su richiesta, da valutare a parte.</w:t>
      </w:r>
    </w:p>
    <w:p>
      <w:pPr>
        <w:keepNext/>
        <w:pBdr>
          <w:bottom w:val="single" w:color="14532D" w:sz="12" w:space="4"/>
        </w:pBdr>
        <w:spacing w:after="120" w:before="360"/>
      </w:pPr>
      <w:r>
        <w:rPr>
          <w:b/>
          <w:bCs/>
          <w:color w:val="14261D"/>
          <w:sz w:val="26"/>
          <w:szCs w:val="26"/>
        </w:rPr>
        <w:t xml:space="preserve">5. Condizioni economiche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38"/>
        <w:gridCol w:w="2400"/>
      </w:tblGrid>
      <w:tr>
        <w:trPr>
          <w:tblHeader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4532D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4261D"/>
                <w:sz w:val="19"/>
                <w:szCs w:val="19"/>
              </w:rPr>
              <w:t xml:space="preserve">Voce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14532D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4261D"/>
                <w:sz w:val="19"/>
                <w:szCs w:val="19"/>
              </w:rPr>
              <w:t xml:space="preserve">Note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4532D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4261D"/>
                <w:sz w:val="19"/>
                <w:szCs w:val="19"/>
              </w:rPr>
              <w:t xml:space="preserve">Importo (IVA esclusa)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Attivazione, importazione dei dati e formazione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tantum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[€ …]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Canone annuo di uso del programma, hosting, aggiornamenti e assistenza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</w:t>
            </w: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[n]</w:t>
            </w:r>
            <w:r>
              <w:rPr>
                <w:b w:val="false"/>
                <w:bCs w:val="false"/>
                <w:sz w:val="19"/>
                <w:szCs w:val="19"/>
              </w:rPr>
              <w:t xml:space="preserve"> utenti, elementi senza limite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[€ …]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Utente aggiuntivo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anno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[€ …]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Portale pubblico di un ulteriore Comune o committente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anno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[€ …]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Pacchetto di marche temporali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[n]</w:t>
            </w:r>
            <w:r>
              <w:rPr>
                <w:b w:val="false"/>
                <w:bCs w:val="false"/>
                <w:sz w:val="19"/>
                <w:szCs w:val="19"/>
              </w:rPr>
              <w:t xml:space="preserve"> marche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[€ …]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[Voce facoltativa, es. rilievo in campo o stampa cartellini]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[Unità di misura]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  <w:highlight w:val="yellow"/>
              </w:rPr>
              <w:t xml:space="preserve">[€ …]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shd w:fill="F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Totale primo anno</w:t>
            </w:r>
          </w:p>
        </w:tc>
        <w:tc>
          <w:tcPr>
            <w:tcW w:type="dxa" w:w="2838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shd w:fill="F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Attivazione più canone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3DE" w:sz="4"/>
              <w:right w:val="none" w:color="FFFFFF" w:sz="0"/>
            </w:tcBorders>
            <w:shd w:fill="F3F6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  <w:highlight w:val="yellow"/>
              </w:rPr>
              <w:t xml:space="preserve">[€ …]</w:t>
            </w:r>
          </w:p>
        </w:tc>
      </w:tr>
    </w:tbl>
    <w:p>
      <w:pPr>
        <w:spacing w:after="80" w:before="200"/>
      </w:pPr>
      <w:r>
        <w:rPr>
          <w:b/>
          <w:bCs/>
          <w:color w:val="14261D"/>
          <w:sz w:val="20"/>
          <w:szCs w:val="20"/>
        </w:rPr>
        <w:t xml:space="preserve">Durata e pagamento</w:t>
      </w:r>
    </w:p>
    <w:p>
      <w:pPr>
        <w:spacing w:after="120"/>
      </w:pPr>
      <w:r>
        <w:t xml:space="preserve">Il contratto ha durata di </w:t>
      </w:r>
      <w:r>
        <w:rPr>
          <w:highlight w:val="yellow"/>
        </w:rPr>
        <w:t xml:space="preserve">[12]</w:t>
      </w:r>
      <w:r>
        <w:t xml:space="preserve"> mesi dall'avvio ed è rinnovabile. L'attivazione viene fatturata all'avvio, il canone </w:t>
      </w:r>
      <w:r>
        <w:rPr>
          <w:highlight w:val="yellow"/>
        </w:rPr>
        <w:t xml:space="preserve">[annualmente in via anticipata]</w:t>
      </w:r>
      <w:r>
        <w:t xml:space="preserve">. Pagamento </w:t>
      </w:r>
      <w:r>
        <w:rPr>
          <w:highlight w:val="yellow"/>
        </w:rPr>
        <w:t xml:space="preserve">[a 30 giorni data fattura]</w:t>
      </w:r>
      <w:r>
        <w:t xml:space="preserve">. Gli importi si intendono IVA esclusa. Alla scadenza, o in caso di disdetta, l'ente riceve una copia completa dei propri dati.</w:t>
      </w:r>
    </w:p>
    <w:p>
      <w:pPr>
        <w:keepNext/>
        <w:pBdr>
          <w:bottom w:val="single" w:color="14532D" w:sz="12" w:space="4"/>
        </w:pBdr>
        <w:spacing w:after="120" w:before="360"/>
      </w:pPr>
      <w:r>
        <w:rPr>
          <w:b/>
          <w:bCs/>
          <w:color w:val="14261D"/>
          <w:sz w:val="26"/>
          <w:szCs w:val="26"/>
        </w:rPr>
        <w:t xml:space="preserve">6. Tempi e avvio</w:t>
      </w:r>
    </w:p>
    <w:p>
      <w:pPr>
        <w:spacing w:after="120"/>
      </w:pPr>
      <w:r>
        <w:t xml:space="preserve">Il programma sarà operativo entro </w:t>
      </w:r>
      <w:r>
        <w:rPr>
          <w:highlight w:val="yellow"/>
        </w:rPr>
        <w:t xml:space="preserve">[n]</w:t>
      </w:r>
      <w:r>
        <w:t xml:space="preserve"> giorni lavorativi dalla conferma dell'ordine. L'avvio prevede la creazione degli utenti, il caricamento del territorio e dei dati esistenti, la formazione del personale e, quando l'ente lo desidera, la pubblicazione del portale.</w:t>
      </w:r>
    </w:p>
    <w:p>
      <w:pPr>
        <w:keepNext/>
        <w:pBdr>
          <w:bottom w:val="single" w:color="14532D" w:sz="12" w:space="4"/>
        </w:pBdr>
        <w:spacing w:after="120" w:before="360"/>
      </w:pPr>
      <w:r>
        <w:rPr>
          <w:b/>
          <w:bCs/>
          <w:color w:val="14261D"/>
          <w:sz w:val="26"/>
          <w:szCs w:val="26"/>
        </w:rPr>
        <w:t xml:space="preserve">7. Note</w:t>
      </w:r>
    </w:p>
    <w:p>
      <w:pPr>
        <w:spacing w:after="120"/>
      </w:pPr>
      <w:r>
        <w:rPr>
          <w:highlight w:val="yellow"/>
        </w:rPr>
        <w:t xml:space="preserve">[Eventuali condizioni particolari, riferimenti alla procedura di affidamento, trattamento dei dati personali, referente del progetto.]</w:t>
      </w:r>
    </w:p>
    <w:p>
      <w:pPr>
        <w:spacing w:before="400"/>
      </w:pPr>
      <w:r>
        <w:rPr>
          <w:highlight w:val="yellow"/>
        </w:rPr>
        <w:t xml:space="preserve">[Luogo]</w:t>
      </w:r>
      <w:r>
        <w:t xml:space="preserve">, </w:t>
      </w:r>
      <w:r>
        <w:rPr>
          <w:highlight w:val="yellow"/>
        </w:rPr>
        <w:t xml:space="preserve">[data]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9"/>
        <w:gridCol w:w="400"/>
        <w:gridCol w:w="4619"/>
      </w:tblGrid>
      <w:tr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0"/>
            </w:pPr>
          </w:p>
          <w:p>
            <w:pPr>
              <w:pBdr>
                <w:top w:val="single" w:color="16211C" w:sz="6" w:space="4"/>
              </w:pBdr>
            </w:pPr>
            <w:r>
              <w:rPr>
                <w:b/>
                <w:bCs/>
                <w:sz w:val="18"/>
                <w:szCs w:val="18"/>
              </w:rPr>
              <w:t xml:space="preserve">DAMA S.R.L.</w:t>
            </w:r>
          </w:p>
          <w:p>
            <w:r>
              <w:rPr>
                <w:color w:val="566158"/>
                <w:sz w:val="18"/>
                <w:szCs w:val="18"/>
                <w:highlight w:val="yellow"/>
              </w:rPr>
              <w:t xml:space="preserve">[Nome e qualifica di chi firma]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700"/>
            </w:pPr>
          </w:p>
          <w:p>
            <w:pPr>
              <w:pBdr>
                <w:top w:val="single" w:color="16211C" w:sz="6" w:space="4"/>
              </w:pBdr>
            </w:pPr>
            <w:r>
              <w:rPr>
                <w:b/>
                <w:bCs/>
                <w:sz w:val="18"/>
                <w:szCs w:val="18"/>
              </w:rPr>
              <w:t xml:space="preserve">Per accettazione</w:t>
            </w:r>
          </w:p>
          <w:p>
            <w:r>
              <w:rPr>
                <w:color w:val="566158"/>
                <w:sz w:val="18"/>
                <w:szCs w:val="18"/>
                <w:highlight w:val="yellow"/>
              </w:rPr>
              <w:t xml:space="preserve">[Ente]</w:t>
            </w:r>
            <w:r>
              <w:rPr>
                <w:color w:val="566158"/>
                <w:sz w:val="18"/>
                <w:szCs w:val="18"/>
              </w:rPr>
              <w:t xml:space="preserve">, data, timbro e firma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DE" w:sz="4" w:space="4"/>
      </w:pBdr>
      <w:tabs>
        <w:tab w:val="right" w:pos="9638"/>
      </w:tabs>
    </w:pPr>
    <w:r>
      <w:rPr>
        <w:color w:val="566158"/>
        <w:sz w:val="14"/>
        <w:szCs w:val="14"/>
      </w:rPr>
      <w:t xml:space="preserve">DAMA S.R.L. · Via Crescenzio 58, 00193 Roma · P. IVA 17947161000 · info@damagroup.it</w:t>
    </w:r>
    <w:r>
      <w:rPr>
        <w:color w:val="566158"/>
        <w:sz w:val="14"/>
        <w:szCs w:val="14"/>
      </w:rPr>
      <w:t xml:space="preserve">	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b/>
        <w:bCs/>
        <w:color w:val="16211C"/>
        <w:sz w:val="15"/>
        <w:szCs w:val="15"/>
      </w:rPr>
      <w:t xml:space="preserve">ArborLab, offerta commerciale</w:t>
    </w:r>
    <w:r>
      <w:rPr>
        <w:color w:val="566158"/>
        <w:sz w:val="15"/>
        <w:szCs w:val="15"/>
      </w:rPr>
      <w:t xml:space="preserve">	DAMA S.R.L.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60"/>
      </w:pPr>
      <w:rPr>
        <w:b/>
        <w:bCs/>
        <w:color w:val="1453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Offerta commerciale ArborLab</dc:title>
  <dc:creator>DAMA S.R.L.</dc:creator>
  <cp:lastModifiedBy>Un-named</cp:lastModifiedBy>
  <cp:revision>1</cp:revision>
  <dcterms:created xsi:type="dcterms:W3CDTF">2026-09-28T16:08:12.904Z</dcterms:created>
  <dcterms:modified xsi:type="dcterms:W3CDTF">2026-09-28T16:08:12.904Z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