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6BFE6B67" w14:textId="77777777" w:rsidR="009B6D7C" w:rsidRPr="009B6D7C" w:rsidRDefault="009B6D7C" w:rsidP="009B6D7C">
      <w:pPr>
        <w:pStyle w:val="Heading1"/>
        <w:rPr>
          <w:rFonts w:cstheme="minorHAnsi"/>
        </w:rPr>
      </w:pPr>
      <w:r w:rsidRPr="009B6D7C">
        <w:rPr>
          <w:rFonts w:cstheme="minorHAnsi"/>
        </w:rPr>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42F203C4"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83AA3BE"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2786B48A"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23C00EF0" w14:textId="6B5B91A3"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A09DABE" w14:textId="32EF127A"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6E29758E"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2E0954A3"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03D82E9A" w14:textId="4D7231ED"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5A215A22"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3D454445"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5DEC88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 council.trilogue.test.summary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p w14:paraId="04459D90" w14:textId="77777777" w:rsidR="009E220B" w:rsidRDefault="009E220B" w:rsidP="009E220B">
      <w:pPr>
        <w:pStyle w:val="Heading1"/>
      </w:pPr>
      <w:r>
        <w:lastRenderedPageBreak/>
        <w:t>Executive Summary</w:t>
      </w:r>
    </w:p>
    <w:p w14:paraId="73F904EF" w14:textId="0116E0DC" w:rsidR="00AB1A4A" w:rsidRDefault="00AB1A4A" w:rsidP="008D2FCD">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 - with this in mind an initial joint study on Trilogue Table exchanges was commissioned by the European Parliament and the Council.</w:t>
      </w:r>
    </w:p>
    <w:p w14:paraId="6687EA83" w14:textId="77777777" w:rsidR="00AB1A4A" w:rsidRDefault="00AB1A4A" w:rsidP="00AB1A4A">
      <w:pPr>
        <w:pStyle w:val="ListParagraph"/>
        <w:ind w:left="360"/>
        <w:jc w:val="both"/>
      </w:pPr>
    </w:p>
    <w:p w14:paraId="1779602B" w14:textId="67F7080D" w:rsidR="00AB1A4A" w:rsidRDefault="002D6D8A" w:rsidP="00AB1A4A">
      <w:pPr>
        <w:pStyle w:val="ListParagraph"/>
        <w:numPr>
          <w:ilvl w:val="0"/>
          <w:numId w:val="4"/>
        </w:numPr>
        <w:ind w:left="360"/>
        <w:jc w:val="both"/>
      </w:pPr>
      <w:r>
        <w:t xml:space="preserve">The </w:t>
      </w:r>
      <w:r w:rsidR="00622948">
        <w:t xml:space="preserve">joint </w:t>
      </w:r>
      <w:r w:rsidR="000C2061">
        <w:t>Trilogue Table content e</w:t>
      </w:r>
      <w:r>
        <w:t xml:space="preserve">xchange </w:t>
      </w:r>
      <w:r w:rsidR="00F10A72">
        <w:t>study</w:t>
      </w:r>
      <w:r>
        <w:t xml:space="preserve"> </w:t>
      </w:r>
      <w:r w:rsidR="00F10A72">
        <w:t>was</w:t>
      </w:r>
      <w:r w:rsidR="00622948">
        <w:t xml:space="preserve"> carried out by the European Parliament and Council</w:t>
      </w:r>
      <w:r w:rsidR="00F10A72">
        <w:t>’s operational teams</w:t>
      </w:r>
      <w:r>
        <w:t xml:space="preserve"> </w:t>
      </w:r>
      <w:r w:rsidR="00622948">
        <w:t xml:space="preserve">in </w:t>
      </w:r>
      <w:r w:rsidR="00AB1A4A">
        <w:t>summer 2016. It</w:t>
      </w:r>
      <w:r>
        <w:t xml:space="preserve"> has confirmed </w:t>
      </w:r>
      <w:r w:rsidR="00622948">
        <w:t>validity of t</w:t>
      </w:r>
      <w:r w:rsidR="00F10A72">
        <w:t>he structured editing approach and an early Trilogue Table editor design.</w:t>
      </w:r>
    </w:p>
    <w:p w14:paraId="0A9D861D" w14:textId="6D81856D" w:rsidR="00AB1A4A" w:rsidRDefault="00AB1A4A" w:rsidP="00AB1A4A">
      <w:pPr>
        <w:pStyle w:val="ListParagraph"/>
        <w:ind w:left="360"/>
        <w:jc w:val="both"/>
      </w:pPr>
      <w:r>
        <w:br/>
      </w:r>
      <w:r>
        <w:t xml:space="preserve">During the analysis, conducted following </w:t>
      </w:r>
      <w:r>
        <w:t>the</w:t>
      </w:r>
      <w:r>
        <w:t xml:space="preserve"> User Test methodology, it became apparent that there is an </w:t>
      </w:r>
      <w:r w:rsidRPr="00622948">
        <w:t>overwhelming user support to build a fit-for-purpose tool for the work on the Trilogue Tables</w:t>
      </w:r>
      <w:r>
        <w:t xml:space="preserve"> which overcomes the major weaknesses of the current file-based exchanges of MS Word files, where users are personally responsible for maintenance of every aspect of the table.</w:t>
      </w:r>
    </w:p>
    <w:p w14:paraId="1A467A2D" w14:textId="77777777" w:rsidR="00AB1A4A" w:rsidRDefault="00AB1A4A" w:rsidP="00AB1A4A">
      <w:pPr>
        <w:pStyle w:val="ListParagraph"/>
        <w:ind w:left="360"/>
        <w:jc w:val="both"/>
      </w:pPr>
    </w:p>
    <w:p w14:paraId="204F03E9" w14:textId="77777777" w:rsidR="00F10A72" w:rsidRDefault="00F10A72" w:rsidP="00F10A72">
      <w:pPr>
        <w:pStyle w:val="ListParagraph"/>
        <w:numPr>
          <w:ilvl w:val="0"/>
          <w:numId w:val="4"/>
        </w:numPr>
        <w:ind w:left="360"/>
        <w:jc w:val="both"/>
      </w:pPr>
      <w:r>
        <w:t>Many newly designed f</w:t>
      </w:r>
      <w:r w:rsidR="003B7C7E">
        <w:t xml:space="preserve">eatures </w:t>
      </w:r>
      <w:r>
        <w:t>resonated well with users. Among them:</w:t>
      </w:r>
      <w:r w:rsidR="003B7C7E">
        <w:t xml:space="preserve"> </w:t>
      </w:r>
    </w:p>
    <w:p w14:paraId="086C61A3" w14:textId="77777777" w:rsidR="00F10A72" w:rsidRPr="00F10A72" w:rsidRDefault="00F10A72" w:rsidP="00F10A72">
      <w:pPr>
        <w:pStyle w:val="ListParagraph"/>
        <w:ind w:left="360"/>
        <w:jc w:val="both"/>
        <w:rPr>
          <w:sz w:val="6"/>
          <w:szCs w:val="6"/>
        </w:rPr>
      </w:pPr>
    </w:p>
    <w:p w14:paraId="5CE548D5" w14:textId="432454A9"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Configurable presentation</w:t>
      </w:r>
      <w:r w:rsidRPr="00F10A72">
        <w:rPr>
          <w:sz w:val="20"/>
          <w:szCs w:val="20"/>
        </w:rPr>
        <w:t xml:space="preserve"> - changes to </w:t>
      </w:r>
      <w:r w:rsidR="000107A7">
        <w:rPr>
          <w:sz w:val="20"/>
          <w:szCs w:val="20"/>
        </w:rPr>
        <w:t xml:space="preserve">a </w:t>
      </w:r>
      <w:r w:rsidRPr="00F10A72">
        <w:rPr>
          <w:sz w:val="20"/>
          <w:szCs w:val="20"/>
        </w:rPr>
        <w:t xml:space="preserve">table presentation </w:t>
      </w:r>
      <w:r w:rsidR="000107A7">
        <w:rPr>
          <w:sz w:val="20"/>
          <w:szCs w:val="20"/>
        </w:rPr>
        <w:t>do</w:t>
      </w:r>
      <w:r w:rsidRPr="00F10A72">
        <w:rPr>
          <w:sz w:val="20"/>
          <w:szCs w:val="20"/>
        </w:rPr>
        <w:t xml:space="preserve"> not alter </w:t>
      </w:r>
      <w:r w:rsidR="000107A7">
        <w:rPr>
          <w:sz w:val="20"/>
          <w:szCs w:val="20"/>
        </w:rPr>
        <w:t xml:space="preserve">its </w:t>
      </w:r>
      <w:r w:rsidRPr="00F10A72">
        <w:rPr>
          <w:sz w:val="20"/>
          <w:szCs w:val="20"/>
        </w:rPr>
        <w:t>content. Contend and presentation become two independent elements.</w:t>
      </w:r>
    </w:p>
    <w:p w14:paraId="601C50CF" w14:textId="77777777" w:rsidR="00F10A72" w:rsidRPr="00F10A72" w:rsidRDefault="00F10A72" w:rsidP="00F10A72">
      <w:pPr>
        <w:pStyle w:val="ListParagraph"/>
        <w:spacing w:before="240" w:after="240"/>
        <w:ind w:left="1077" w:firstLine="720"/>
        <w:jc w:val="both"/>
        <w:rPr>
          <w:sz w:val="6"/>
          <w:szCs w:val="6"/>
        </w:rPr>
      </w:pPr>
    </w:p>
    <w:p w14:paraId="0E26D803" w14:textId="4B057FD7"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Tagging and filtering</w:t>
      </w:r>
      <w:r w:rsidRPr="00F10A72">
        <w:rPr>
          <w:sz w:val="20"/>
          <w:szCs w:val="20"/>
        </w:rPr>
        <w:t xml:space="preserve"> - </w:t>
      </w:r>
      <w:r w:rsidR="000107A7">
        <w:rPr>
          <w:sz w:val="20"/>
          <w:szCs w:val="20"/>
        </w:rPr>
        <w:t>enables</w:t>
      </w:r>
      <w:r w:rsidRPr="00F10A72">
        <w:rPr>
          <w:sz w:val="20"/>
          <w:szCs w:val="20"/>
        </w:rPr>
        <w:t xml:space="preserve"> trilogue technical staff to aggregate and call on</w:t>
      </w:r>
      <w:r w:rsidR="000107A7">
        <w:rPr>
          <w:sz w:val="20"/>
          <w:szCs w:val="20"/>
        </w:rPr>
        <w:t>to a</w:t>
      </w:r>
      <w:r w:rsidRPr="00F10A72">
        <w:rPr>
          <w:sz w:val="20"/>
          <w:szCs w:val="20"/>
        </w:rPr>
        <w:t xml:space="preserve"> screen any section of the table based on user defined criteria.</w:t>
      </w:r>
    </w:p>
    <w:p w14:paraId="3954F88E" w14:textId="134E2A85" w:rsidR="00F10A72" w:rsidRPr="00F10A72" w:rsidRDefault="00F10A72" w:rsidP="00F10A72">
      <w:pPr>
        <w:pStyle w:val="ListParagraph"/>
        <w:tabs>
          <w:tab w:val="left" w:pos="1590"/>
        </w:tabs>
        <w:spacing w:before="240" w:after="240"/>
        <w:ind w:left="1077"/>
        <w:jc w:val="both"/>
        <w:rPr>
          <w:sz w:val="6"/>
          <w:szCs w:val="6"/>
        </w:rPr>
      </w:pPr>
      <w:r w:rsidRPr="00F10A72">
        <w:rPr>
          <w:sz w:val="6"/>
          <w:szCs w:val="6"/>
        </w:rPr>
        <w:tab/>
      </w:r>
    </w:p>
    <w:p w14:paraId="55AD0507" w14:textId="7B155C06"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Consolidated text preview</w:t>
      </w:r>
      <w:r w:rsidRPr="00F10A72">
        <w:rPr>
          <w:sz w:val="20"/>
          <w:szCs w:val="20"/>
        </w:rPr>
        <w:t xml:space="preserve"> - compromise</w:t>
      </w:r>
      <w:r w:rsidR="000107A7">
        <w:rPr>
          <w:sz w:val="20"/>
          <w:szCs w:val="20"/>
        </w:rPr>
        <w:t xml:space="preserve"> text</w:t>
      </w:r>
      <w:r w:rsidRPr="00F10A72">
        <w:rPr>
          <w:sz w:val="20"/>
          <w:szCs w:val="20"/>
        </w:rPr>
        <w:t xml:space="preserve"> or any other column can be previewed in a c</w:t>
      </w:r>
      <w:r w:rsidR="000107A7">
        <w:rPr>
          <w:sz w:val="20"/>
          <w:szCs w:val="20"/>
        </w:rPr>
        <w:t>onsolidated mode at any moment. W</w:t>
      </w:r>
      <w:r w:rsidRPr="00F10A72">
        <w:rPr>
          <w:sz w:val="20"/>
          <w:szCs w:val="20"/>
        </w:rPr>
        <w:t>ork can</w:t>
      </w:r>
      <w:r w:rsidR="000107A7">
        <w:rPr>
          <w:sz w:val="20"/>
          <w:szCs w:val="20"/>
        </w:rPr>
        <w:t xml:space="preserve"> also</w:t>
      </w:r>
      <w:r w:rsidRPr="00F10A72">
        <w:rPr>
          <w:sz w:val="20"/>
          <w:szCs w:val="20"/>
        </w:rPr>
        <w:t xml:space="preserve"> take place </w:t>
      </w:r>
      <w:r w:rsidR="000107A7">
        <w:rPr>
          <w:sz w:val="20"/>
          <w:szCs w:val="20"/>
        </w:rPr>
        <w:t>in a</w:t>
      </w:r>
      <w:r w:rsidRPr="00F10A72">
        <w:rPr>
          <w:sz w:val="20"/>
          <w:szCs w:val="20"/>
        </w:rPr>
        <w:t xml:space="preserve"> consolidated text</w:t>
      </w:r>
      <w:r w:rsidR="000107A7">
        <w:rPr>
          <w:sz w:val="20"/>
          <w:szCs w:val="20"/>
        </w:rPr>
        <w:t xml:space="preserve"> mode</w:t>
      </w:r>
      <w:r w:rsidRPr="00F10A72">
        <w:rPr>
          <w:sz w:val="20"/>
          <w:szCs w:val="20"/>
        </w:rPr>
        <w:t xml:space="preserve"> - with updates </w:t>
      </w:r>
      <w:r w:rsidR="000107A7">
        <w:rPr>
          <w:sz w:val="20"/>
          <w:szCs w:val="20"/>
        </w:rPr>
        <w:t>automatically carried over to</w:t>
      </w:r>
      <w:r w:rsidRPr="00F10A72">
        <w:rPr>
          <w:sz w:val="20"/>
          <w:szCs w:val="20"/>
        </w:rPr>
        <w:t xml:space="preserve"> the compromise column.</w:t>
      </w:r>
    </w:p>
    <w:p w14:paraId="0BD033E2" w14:textId="77777777" w:rsidR="00F10A72" w:rsidRPr="00F10A72" w:rsidRDefault="00F10A72" w:rsidP="00F10A72">
      <w:pPr>
        <w:pStyle w:val="ListParagraph"/>
        <w:spacing w:before="240" w:after="240"/>
        <w:ind w:left="1077"/>
        <w:jc w:val="both"/>
        <w:rPr>
          <w:sz w:val="6"/>
          <w:szCs w:val="6"/>
        </w:rPr>
      </w:pPr>
    </w:p>
    <w:p w14:paraId="3B65F852" w14:textId="56A97546"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Any-to-any column comparison</w:t>
      </w:r>
      <w:r w:rsidRPr="00F10A72">
        <w:rPr>
          <w:sz w:val="20"/>
          <w:szCs w:val="20"/>
        </w:rPr>
        <w:t xml:space="preserve"> - any two or more columns can be </w:t>
      </w:r>
      <w:r w:rsidR="000107A7">
        <w:rPr>
          <w:sz w:val="20"/>
          <w:szCs w:val="20"/>
        </w:rPr>
        <w:t xml:space="preserve">compared, </w:t>
      </w:r>
      <w:r w:rsidR="000107A7" w:rsidRPr="00F10A72">
        <w:rPr>
          <w:sz w:val="20"/>
          <w:szCs w:val="20"/>
        </w:rPr>
        <w:t xml:space="preserve">ad </w:t>
      </w:r>
      <w:r w:rsidR="000107A7">
        <w:rPr>
          <w:sz w:val="20"/>
          <w:szCs w:val="20"/>
        </w:rPr>
        <w:t xml:space="preserve">hoc, </w:t>
      </w:r>
      <w:r w:rsidRPr="00F10A72">
        <w:rPr>
          <w:sz w:val="20"/>
          <w:szCs w:val="20"/>
        </w:rPr>
        <w:t xml:space="preserve">with differences displayed </w:t>
      </w:r>
      <w:r w:rsidR="000107A7">
        <w:rPr>
          <w:sz w:val="20"/>
          <w:szCs w:val="20"/>
        </w:rPr>
        <w:t>following</w:t>
      </w:r>
      <w:r w:rsidRPr="00F10A72">
        <w:rPr>
          <w:sz w:val="20"/>
          <w:szCs w:val="20"/>
        </w:rPr>
        <w:t xml:space="preserve"> </w:t>
      </w:r>
      <w:r w:rsidR="000107A7">
        <w:rPr>
          <w:sz w:val="20"/>
          <w:szCs w:val="20"/>
        </w:rPr>
        <w:t>u</w:t>
      </w:r>
      <w:r w:rsidRPr="00F10A72">
        <w:rPr>
          <w:sz w:val="20"/>
          <w:szCs w:val="20"/>
        </w:rPr>
        <w:t>ser criteria.</w:t>
      </w:r>
    </w:p>
    <w:p w14:paraId="4D6325D7" w14:textId="77777777" w:rsidR="00F10A72" w:rsidRPr="00F10A72" w:rsidRDefault="00F10A72" w:rsidP="00F10A72">
      <w:pPr>
        <w:pStyle w:val="ListParagraph"/>
        <w:spacing w:before="240" w:after="240"/>
        <w:ind w:left="1077"/>
        <w:jc w:val="both"/>
        <w:rPr>
          <w:sz w:val="6"/>
          <w:szCs w:val="6"/>
        </w:rPr>
      </w:pPr>
    </w:p>
    <w:p w14:paraId="214A250B" w14:textId="4B68762E"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Versioning</w:t>
      </w:r>
      <w:r w:rsidRPr="00F10A72">
        <w:rPr>
          <w:sz w:val="20"/>
          <w:szCs w:val="20"/>
        </w:rPr>
        <w:t xml:space="preserve"> - system embraces automatic</w:t>
      </w:r>
      <w:r w:rsidR="000107A7">
        <w:rPr>
          <w:sz w:val="20"/>
          <w:szCs w:val="20"/>
        </w:rPr>
        <w:t>,</w:t>
      </w:r>
      <w:r w:rsidRPr="00F10A72">
        <w:rPr>
          <w:sz w:val="20"/>
          <w:szCs w:val="20"/>
        </w:rPr>
        <w:t xml:space="preserve"> and user defined</w:t>
      </w:r>
      <w:r w:rsidR="000107A7">
        <w:rPr>
          <w:sz w:val="20"/>
          <w:szCs w:val="20"/>
        </w:rPr>
        <w:t>, versioning of content -</w:t>
      </w:r>
      <w:r w:rsidRPr="00F10A72">
        <w:rPr>
          <w:sz w:val="20"/>
          <w:szCs w:val="20"/>
        </w:rPr>
        <w:t xml:space="preserve"> allowing to present negotiation progression and </w:t>
      </w:r>
      <w:r w:rsidR="000107A7">
        <w:rPr>
          <w:sz w:val="20"/>
          <w:szCs w:val="20"/>
        </w:rPr>
        <w:t>facilitate</w:t>
      </w:r>
      <w:r w:rsidRPr="00F10A72">
        <w:rPr>
          <w:sz w:val="20"/>
          <w:szCs w:val="20"/>
        </w:rPr>
        <w:t xml:space="preserve"> future archiving solutions.</w:t>
      </w:r>
    </w:p>
    <w:p w14:paraId="6FAF808B" w14:textId="77777777" w:rsidR="00F10A72" w:rsidRPr="00F10A72" w:rsidRDefault="00F10A72" w:rsidP="00F10A72">
      <w:pPr>
        <w:pStyle w:val="ListParagraph"/>
        <w:spacing w:before="240" w:after="240"/>
        <w:ind w:left="1077"/>
        <w:jc w:val="both"/>
        <w:rPr>
          <w:sz w:val="6"/>
          <w:szCs w:val="6"/>
        </w:rPr>
      </w:pPr>
    </w:p>
    <w:p w14:paraId="0D49C7AA" w14:textId="5E00F0D0"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R</w:t>
      </w:r>
      <w:r w:rsidR="00916C2E" w:rsidRPr="00F10A72">
        <w:rPr>
          <w:i/>
          <w:sz w:val="20"/>
          <w:szCs w:val="20"/>
        </w:rPr>
        <w:t xml:space="preserve">ole based access </w:t>
      </w:r>
      <w:r w:rsidR="003B7C7E" w:rsidRPr="00F10A72">
        <w:rPr>
          <w:i/>
          <w:sz w:val="20"/>
          <w:szCs w:val="20"/>
        </w:rPr>
        <w:t>security and controlled exchange</w:t>
      </w:r>
      <w:r w:rsidR="003B7C7E" w:rsidRPr="00F10A72">
        <w:rPr>
          <w:sz w:val="20"/>
          <w:szCs w:val="20"/>
        </w:rPr>
        <w:t xml:space="preserve"> </w:t>
      </w:r>
      <w:r w:rsidRPr="00F10A72">
        <w:rPr>
          <w:sz w:val="20"/>
          <w:szCs w:val="20"/>
        </w:rPr>
        <w:t>- system mimic</w:t>
      </w:r>
      <w:r w:rsidR="000107A7">
        <w:rPr>
          <w:sz w:val="20"/>
          <w:szCs w:val="20"/>
        </w:rPr>
        <w:t>s and enforces current</w:t>
      </w:r>
      <w:r w:rsidRPr="00F10A72">
        <w:rPr>
          <w:sz w:val="20"/>
          <w:szCs w:val="20"/>
        </w:rPr>
        <w:t xml:space="preserve"> </w:t>
      </w:r>
      <w:r>
        <w:rPr>
          <w:sz w:val="20"/>
          <w:szCs w:val="20"/>
        </w:rPr>
        <w:t>usage patterns of cu</w:t>
      </w:r>
      <w:r w:rsidR="000107A7">
        <w:rPr>
          <w:sz w:val="20"/>
          <w:szCs w:val="20"/>
        </w:rPr>
        <w:t>rrent file-based edition system, while transiting to a new generation of technology.</w:t>
      </w:r>
    </w:p>
    <w:p w14:paraId="3AE353BA" w14:textId="77777777" w:rsidR="00F10A72" w:rsidRPr="000107A7" w:rsidRDefault="00F10A72" w:rsidP="000107A7">
      <w:pPr>
        <w:pStyle w:val="ListParagraph"/>
        <w:spacing w:before="240" w:after="240"/>
        <w:ind w:left="1077" w:firstLine="720"/>
        <w:jc w:val="both"/>
        <w:rPr>
          <w:sz w:val="6"/>
          <w:szCs w:val="6"/>
        </w:rPr>
      </w:pPr>
    </w:p>
    <w:p w14:paraId="1889C9ED" w14:textId="51F712E9" w:rsidR="008D2FCD" w:rsidRDefault="00F10A72" w:rsidP="000107A7">
      <w:pPr>
        <w:pStyle w:val="ListParagraph"/>
        <w:ind w:left="360"/>
        <w:jc w:val="both"/>
      </w:pPr>
      <w:r>
        <w:t xml:space="preserve">User considered these </w:t>
      </w:r>
      <w:r w:rsidR="000107A7">
        <w:t xml:space="preserve">points </w:t>
      </w:r>
      <w:r>
        <w:t xml:space="preserve">a definitive added value, and the operational teams believe </w:t>
      </w:r>
      <w:r w:rsidR="000107A7">
        <w:t>the resulting system</w:t>
      </w:r>
      <w:r>
        <w:t xml:space="preserve"> </w:t>
      </w:r>
      <w:r w:rsidR="00052D23">
        <w:t xml:space="preserve">would </w:t>
      </w:r>
      <w:r w:rsidR="000107A7">
        <w:t xml:space="preserve">ease the technical burden and introduce a simpler </w:t>
      </w:r>
      <w:r w:rsidR="003B7C7E">
        <w:t xml:space="preserve">and controlled way of </w:t>
      </w:r>
      <w:r>
        <w:t xml:space="preserve">editing. </w:t>
      </w:r>
      <w:r w:rsidR="000107A7">
        <w:t>The editor</w:t>
      </w:r>
      <w:r>
        <w:t xml:space="preserve"> would take over </w:t>
      </w:r>
      <w:r w:rsidR="000107A7">
        <w:t xml:space="preserve">many mundane tasks, automating document structure and maintain presentation. This enables users to focus on </w:t>
      </w:r>
      <w:r w:rsidR="00052D23">
        <w:t xml:space="preserve">content for the </w:t>
      </w:r>
      <w:r w:rsidR="00916C2E">
        <w:t xml:space="preserve">Trilogue </w:t>
      </w:r>
      <w:r w:rsidR="00052D23">
        <w:t>negotiations</w:t>
      </w:r>
      <w:r w:rsidR="000107A7">
        <w:t xml:space="preserve"> -</w:t>
      </w:r>
      <w:r w:rsidR="00916C2E">
        <w:t xml:space="preserve"> finally </w:t>
      </w:r>
      <w:r w:rsidR="000107A7">
        <w:t>leading to a more</w:t>
      </w:r>
      <w:r w:rsidR="00916C2E" w:rsidRPr="00F455A4">
        <w:t xml:space="preserve"> legally sound compromise</w:t>
      </w:r>
      <w:r w:rsidR="00052D23">
        <w:t>.</w:t>
      </w:r>
    </w:p>
    <w:p w14:paraId="5A9BDC3E" w14:textId="77777777" w:rsidR="008D2FCD" w:rsidRDefault="008D2FCD" w:rsidP="008D2FCD">
      <w:pPr>
        <w:pStyle w:val="ListParagraph"/>
        <w:ind w:left="360"/>
        <w:jc w:val="both"/>
      </w:pPr>
    </w:p>
    <w:p w14:paraId="3923A2CA" w14:textId="3B9587A7" w:rsidR="008D2FCD" w:rsidRDefault="000107A7" w:rsidP="008D2FCD">
      <w:pPr>
        <w:pStyle w:val="ListParagraph"/>
        <w:numPr>
          <w:ilvl w:val="0"/>
          <w:numId w:val="4"/>
        </w:numPr>
        <w:ind w:left="360"/>
        <w:jc w:val="both"/>
      </w:pPr>
      <w:r>
        <w:t>Operational teams report that</w:t>
      </w:r>
      <w:r w:rsidR="00916C2E">
        <w:t xml:space="preserve"> users warmly welcomed </w:t>
      </w:r>
      <w:r w:rsidR="00AB1A4A">
        <w:t xml:space="preserve">the new Trilogue Table Editor </w:t>
      </w:r>
      <w:r>
        <w:t>design</w:t>
      </w:r>
      <w:r w:rsidR="00AB1A4A">
        <w:t>. However, it</w:t>
      </w:r>
      <w:r w:rsidR="00F04456">
        <w:t xml:space="preserve"> represents</w:t>
      </w:r>
      <w:r w:rsidR="00916C2E">
        <w:t xml:space="preserve"> a major departure from the current working patterns</w:t>
      </w:r>
      <w:r w:rsidR="00F04456">
        <w:t>.</w:t>
      </w:r>
      <w:r w:rsidR="00916C2E">
        <w:t xml:space="preserve"> </w:t>
      </w:r>
      <w:r w:rsidR="00F04456">
        <w:t>T</w:t>
      </w:r>
      <w:r w:rsidR="00916C2E">
        <w:t xml:space="preserve">o ensure </w:t>
      </w:r>
      <w:r w:rsidR="00AB1A4A">
        <w:t xml:space="preserve">continuous </w:t>
      </w:r>
      <w:r w:rsidR="00F04456">
        <w:t xml:space="preserve">user acceptance and </w:t>
      </w:r>
      <w:r w:rsidR="00916C2E">
        <w:t xml:space="preserve">the success of </w:t>
      </w:r>
      <w:r w:rsidR="00F04456">
        <w:t>our</w:t>
      </w:r>
      <w:r w:rsidR="00916C2E">
        <w:t xml:space="preserve"> initiative</w:t>
      </w:r>
      <w:r w:rsidR="00F04456">
        <w:t>,</w:t>
      </w:r>
      <w:r w:rsidR="00916C2E">
        <w:t xml:space="preserve"> </w:t>
      </w:r>
      <w:r w:rsidR="00F04456">
        <w:t>we need to carefully manage the change and adopt a sound</w:t>
      </w:r>
      <w:r w:rsidR="00916C2E">
        <w:t xml:space="preserve"> communication strategy </w:t>
      </w:r>
      <w:r w:rsidR="00F04456">
        <w:t>at all levels:</w:t>
      </w:r>
      <w:r w:rsidR="00916C2E">
        <w:t xml:space="preserve"> project team, steering committee and </w:t>
      </w:r>
      <w:r w:rsidR="00AB1A4A">
        <w:t xml:space="preserve">business </w:t>
      </w:r>
      <w:r w:rsidR="00916C2E">
        <w:t>spon</w:t>
      </w:r>
      <w:r w:rsidR="00AB1A4A">
        <w:t>sor.</w:t>
      </w:r>
    </w:p>
    <w:p w14:paraId="64D209EB" w14:textId="2B6EA902" w:rsidR="00AB1A4A" w:rsidRDefault="00AB1A4A" w:rsidP="00AB1A4A">
      <w:pPr>
        <w:pStyle w:val="ListParagraph"/>
        <w:ind w:left="360"/>
        <w:jc w:val="both"/>
      </w:pPr>
      <w:r>
        <w:br/>
      </w:r>
      <w:r w:rsidR="00F10A72">
        <w:t xml:space="preserve">The ongoing good collaboration in between the operational teams </w:t>
      </w:r>
      <w:r w:rsidR="000107A7">
        <w:t>must be carried over to a structured governance that would continue with the involvement of all the internal stakeholders when the project is started.</w:t>
      </w:r>
    </w:p>
    <w:p w14:paraId="68B19F9A" w14:textId="77777777" w:rsidR="008D2FCD" w:rsidRDefault="008D2FCD" w:rsidP="008D2FCD">
      <w:pPr>
        <w:pStyle w:val="ListParagraph"/>
        <w:ind w:left="360"/>
        <w:jc w:val="both"/>
      </w:pPr>
    </w:p>
    <w:p w14:paraId="7D6E74CC" w14:textId="733C1BA6" w:rsidR="00012A0D" w:rsidRPr="002D6D8A" w:rsidRDefault="00F10A72" w:rsidP="00622948">
      <w:pPr>
        <w:pStyle w:val="ListParagraph"/>
        <w:numPr>
          <w:ilvl w:val="0"/>
          <w:numId w:val="4"/>
        </w:numPr>
        <w:ind w:left="360"/>
        <w:jc w:val="both"/>
      </w:pPr>
      <w:r>
        <w:lastRenderedPageBreak/>
        <w:t>Op</w:t>
      </w:r>
      <w:r w:rsidR="000107A7">
        <w:t>erational teams recommend to follow up on the initial study and to embrace the new structured editing technology to build a new generation of editors for legislative content.</w:t>
      </w:r>
      <w:r w:rsidR="006255CA">
        <w:t xml:space="preserve"> The next steps should be taken with a </w:t>
      </w:r>
      <w:r w:rsidR="00D57624">
        <w:t xml:space="preserve">continuing </w:t>
      </w:r>
      <w:r w:rsidR="006255CA">
        <w:t xml:space="preserve">collaboration of </w:t>
      </w:r>
      <w:r w:rsidR="00D57624">
        <w:t xml:space="preserve">the </w:t>
      </w:r>
      <w:r w:rsidR="006255CA">
        <w:t>EU co-legislators</w:t>
      </w:r>
      <w:r w:rsidR="00D57624">
        <w:t>,</w:t>
      </w:r>
      <w:r w:rsidR="006255CA">
        <w:t xml:space="preserve"> </w:t>
      </w:r>
      <w:r w:rsidR="00D57624">
        <w:t>with a close users’ involvement</w:t>
      </w:r>
      <w:r w:rsidR="006255CA">
        <w:t xml:space="preserve"> </w:t>
      </w:r>
      <w:r w:rsidR="00D57624">
        <w:t>validating</w:t>
      </w:r>
      <w:r w:rsidR="006255CA">
        <w:t xml:space="preserve"> </w:t>
      </w:r>
      <w:r w:rsidR="00D57624">
        <w:t>f</w:t>
      </w:r>
      <w:r w:rsidR="006255CA">
        <w:t>eature set, and maintaining Better Law Making objectives throughout the design and implementation process.</w:t>
      </w:r>
      <w:bookmarkStart w:id="0" w:name="_GoBack"/>
      <w:bookmarkEnd w:id="0"/>
    </w:p>
    <w:sectPr w:rsidR="00012A0D" w:rsidRPr="002D6D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916C2E" w:rsidRDefault="00916C2E" w:rsidP="002D6D8A">
      <w:pPr>
        <w:spacing w:after="0" w:line="240" w:lineRule="auto"/>
      </w:pPr>
      <w:r>
        <w:separator/>
      </w:r>
    </w:p>
  </w:endnote>
  <w:endnote w:type="continuationSeparator" w:id="0">
    <w:p w14:paraId="0F34A374" w14:textId="77777777" w:rsidR="00916C2E" w:rsidRDefault="00916C2E"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D57624">
          <w:rPr>
            <w:noProof/>
            <w:sz w:val="20"/>
            <w:szCs w:val="20"/>
          </w:rPr>
          <w:t>6</w:t>
        </w:r>
        <w:r w:rsidRPr="002D6D8A">
          <w:rPr>
            <w:noProof/>
            <w:sz w:val="20"/>
            <w:szCs w:val="20"/>
          </w:rPr>
          <w:fldChar w:fldCharType="end"/>
        </w:r>
        <w:r>
          <w:rPr>
            <w:noProof/>
            <w:sz w:val="20"/>
            <w:szCs w:val="20"/>
          </w:rPr>
          <w:t xml:space="preserve"> -</w:t>
        </w:r>
      </w:sdtContent>
    </w:sdt>
  </w:p>
  <w:p w14:paraId="676FF374"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916C2E" w:rsidRDefault="00916C2E" w:rsidP="002D6D8A">
      <w:pPr>
        <w:spacing w:after="0" w:line="240" w:lineRule="auto"/>
      </w:pPr>
      <w:r>
        <w:separator/>
      </w:r>
    </w:p>
  </w:footnote>
  <w:footnote w:type="continuationSeparator" w:id="0">
    <w:p w14:paraId="5940C9BB" w14:textId="77777777" w:rsidR="00916C2E" w:rsidRDefault="00916C2E"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107A7"/>
    <w:rsid w:val="00012A0D"/>
    <w:rsid w:val="00052D23"/>
    <w:rsid w:val="000C2061"/>
    <w:rsid w:val="00181C0C"/>
    <w:rsid w:val="00291082"/>
    <w:rsid w:val="002B28A6"/>
    <w:rsid w:val="002D6D8A"/>
    <w:rsid w:val="003B7C7E"/>
    <w:rsid w:val="00410560"/>
    <w:rsid w:val="00422290"/>
    <w:rsid w:val="0044691A"/>
    <w:rsid w:val="004C336C"/>
    <w:rsid w:val="004F6BE3"/>
    <w:rsid w:val="0059555F"/>
    <w:rsid w:val="005A0641"/>
    <w:rsid w:val="00622948"/>
    <w:rsid w:val="006255CA"/>
    <w:rsid w:val="00652F43"/>
    <w:rsid w:val="00776BE4"/>
    <w:rsid w:val="007B39DC"/>
    <w:rsid w:val="008509BC"/>
    <w:rsid w:val="008D2FCD"/>
    <w:rsid w:val="008E2637"/>
    <w:rsid w:val="00916C2E"/>
    <w:rsid w:val="00924502"/>
    <w:rsid w:val="009B6D7C"/>
    <w:rsid w:val="009D52CF"/>
    <w:rsid w:val="009E220B"/>
    <w:rsid w:val="00A918D1"/>
    <w:rsid w:val="00AB1A4A"/>
    <w:rsid w:val="00AB645A"/>
    <w:rsid w:val="00AC343C"/>
    <w:rsid w:val="00C75F94"/>
    <w:rsid w:val="00CB3EE4"/>
    <w:rsid w:val="00D57624"/>
    <w:rsid w:val="00DC6F1F"/>
    <w:rsid w:val="00E505E1"/>
    <w:rsid w:val="00F00E32"/>
    <w:rsid w:val="00F04456"/>
    <w:rsid w:val="00F10A72"/>
    <w:rsid w:val="00F2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docId w15:val="{BC2C487A-0078-4DB4-99D8-7731EC97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1A0F341B.dotm</Template>
  <TotalTime>3</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FEHERPATAKY Michal</cp:lastModifiedBy>
  <cp:revision>4</cp:revision>
  <dcterms:created xsi:type="dcterms:W3CDTF">2016-10-14T09:18:00Z</dcterms:created>
  <dcterms:modified xsi:type="dcterms:W3CDTF">2016-10-14T09:20:00Z</dcterms:modified>
</cp:coreProperties>
</file>