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0.png" ContentType="image/png"/>
  <Override PartName="/word/media/rId25.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Exam-01</w:t>
      </w:r>
    </w:p>
    <w:p>
      <w:pPr>
        <w:pStyle w:val="Author"/>
      </w:pPr>
      <w:r>
        <w:t xml:space="preserve">Pablo</w:t>
      </w:r>
      <w:r>
        <w:t xml:space="preserve"> </w:t>
      </w:r>
      <w:r>
        <w:t xml:space="preserve">Vivas</w:t>
      </w:r>
    </w:p>
    <w:p>
      <w:pPr>
        <w:pStyle w:val="Date"/>
      </w:pPr>
      <w:r>
        <w:t xml:space="preserve">2023-11-07</w:t>
      </w:r>
    </w:p>
    <w:bookmarkStart w:id="47" w:name="question-1"/>
    <w:p>
      <w:pPr>
        <w:pStyle w:val="Heading1"/>
      </w:pPr>
      <w:r>
        <w:t xml:space="preserve">Question 1</w:t>
      </w:r>
    </w:p>
    <w:bookmarkStart w:id="46" w:name="descriptive-analysis"/>
    <w:p>
      <w:pPr>
        <w:pStyle w:val="Heading2"/>
      </w:pPr>
      <w:r>
        <w:t xml:space="preserve">Descriptive analysis</w:t>
      </w:r>
    </w:p>
    <w:p>
      <w:pPr>
        <w:pStyle w:val="FirstParagraph"/>
      </w:pPr>
      <w:r>
        <w:t xml:space="preserve">First, we read the data and take a look at some observations.</w:t>
      </w:r>
    </w:p>
    <w:bookmarkStart w:id="20" w:name="tbl-read-data"/>
    <w:p>
      <w:pPr>
        <w:pStyle w:val="SourceCode"/>
      </w:pPr>
      <w:r>
        <w:rPr>
          <w:rStyle w:val="NormalTok"/>
        </w:rPr>
        <w:t xml:space="preserve">world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"data/world-3.csv"</w:t>
      </w:r>
      <w:r>
        <w:rPr>
          <w:rStyle w:val="NormalTok"/>
        </w:rPr>
        <w:t xml:space="preserve">)</w:t>
      </w:r>
      <w:r>
        <w:br/>
      </w:r>
      <w:r>
        <w:br/>
      </w:r>
      <w:r>
        <w:rPr>
          <w:rStyle w:val="NormalTok"/>
        </w:rPr>
        <w:t xml:space="preserve">world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2</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region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lifeexpf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lifeexpm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literacy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popincr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babymort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birthr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deathr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gdp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aidsr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bdratio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fertilty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literacym</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literacyf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Afghanistan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Pacific/Asia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Croatia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East Europe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Czech 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East Europe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Ethiopia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Middle East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Ireland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OECD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Netherlands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OECD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Somalia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Uruguay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Latin America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Latin America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r>
    </w:tbl>
    <w:p>
      <w:pPr>
        <w:pStyle w:val="FirstParagraph"/>
      </w:pPr>
      <w:r>
        <w:rPr>
          <w:bCs/>
          <w:b/>
        </w:rPr>
        <w:t xml:space="preserve">?(caption)</w:t>
      </w:r>
    </w:p>
    <w:bookmarkEnd w:id="20"/>
    <w:p>
      <w:pPr>
        <w:pStyle w:val="BodyText"/>
      </w:pPr>
      <w:r>
        <w:t xml:space="preserve">Then, we make a description of all the numeric values.</w:t>
      </w:r>
    </w:p>
    <w:bookmarkStart w:id="21" w:name="tbl-desc-data"/>
    <w:p>
      <w:pPr>
        <w:pStyle w:val="SourceCode"/>
      </w:pPr>
      <w:r>
        <w:rPr>
          <w:rStyle w:val="NormalTok"/>
        </w:rPr>
        <w:t xml:space="preserve">world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rPr>
          <w:rStyle w:val="NormalTok"/>
        </w:rPr>
        <w:t xml:space="preserve"> </w:t>
      </w:r>
      <w:r>
        <w:br/>
      </w:r>
      <w:r>
        <w:rPr>
          <w:rStyle w:val="NormalTok"/>
        </w:rPr>
        <w:t xml:space="preserve">  </w:t>
      </w:r>
      <w:r>
        <w:rPr>
          <w:rStyle w:val="FunctionTok"/>
        </w:rPr>
        <w:t xml:space="preserve">skim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(skim_variable)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DecValTok"/>
        </w:rPr>
        <w:t xml:space="preserve">3</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skim_variable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n_missing =</w:t>
      </w:r>
      <w:r>
        <w:rPr>
          <w:rStyle w:val="NormalTok"/>
        </w:rPr>
        <w:t xml:space="preserve"> </w:t>
      </w:r>
      <w:r>
        <w:rPr>
          <w:rStyle w:val="StringTok"/>
        </w:rPr>
        <w:t xml:space="preserve">"missing"</w:t>
      </w:r>
      <w:r>
        <w:rPr>
          <w:rStyle w:val="NormalTok"/>
        </w:rPr>
        <w:t xml:space="preserve">,</w:t>
      </w:r>
      <w:r>
        <w:br/>
      </w:r>
      <w:r>
        <w:rPr>
          <w:rStyle w:val="NormalTok"/>
        </w:rPr>
        <w:t xml:space="preserve">    </w:t>
      </w:r>
      <w:r>
        <w:rPr>
          <w:rStyle w:val="AttributeTok"/>
        </w:rPr>
        <w:t xml:space="preserve">numeric.mean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numeric.sd =</w:t>
      </w:r>
      <w:r>
        <w:rPr>
          <w:rStyle w:val="NormalTok"/>
        </w:rPr>
        <w:t xml:space="preserve"> </w:t>
      </w:r>
      <w:r>
        <w:rPr>
          <w:rStyle w:val="StringTok"/>
        </w:rPr>
        <w:t xml:space="preserve">"std"</w:t>
      </w:r>
      <w:r>
        <w:rPr>
          <w:rStyle w:val="NormalTok"/>
        </w:rPr>
        <w:t xml:space="preserve">,</w:t>
      </w:r>
      <w:r>
        <w:br/>
      </w:r>
      <w:r>
        <w:rPr>
          <w:rStyle w:val="NormalTok"/>
        </w:rPr>
        <w:t xml:space="preserve">    </w:t>
      </w:r>
      <w:r>
        <w:rPr>
          <w:rStyle w:val="AttributeTok"/>
        </w:rPr>
        <w:t xml:space="preserve">numeric.p0 =</w:t>
      </w:r>
      <w:r>
        <w:rPr>
          <w:rStyle w:val="NormalTok"/>
        </w:rPr>
        <w:t xml:space="preserve"> </w:t>
      </w:r>
      <w:r>
        <w:rPr>
          <w:rStyle w:val="StringTok"/>
        </w:rPr>
        <w:t xml:space="preserve">"p0"</w:t>
      </w:r>
      <w:r>
        <w:rPr>
          <w:rStyle w:val="NormalTok"/>
        </w:rPr>
        <w:t xml:space="preserve">,</w:t>
      </w:r>
      <w:r>
        <w:br/>
      </w:r>
      <w:r>
        <w:rPr>
          <w:rStyle w:val="NormalTok"/>
        </w:rPr>
        <w:t xml:space="preserve">    </w:t>
      </w:r>
      <w:r>
        <w:rPr>
          <w:rStyle w:val="AttributeTok"/>
        </w:rPr>
        <w:t xml:space="preserve">numeric.p25 =</w:t>
      </w:r>
      <w:r>
        <w:rPr>
          <w:rStyle w:val="NormalTok"/>
        </w:rPr>
        <w:t xml:space="preserve"> </w:t>
      </w:r>
      <w:r>
        <w:rPr>
          <w:rStyle w:val="StringTok"/>
        </w:rPr>
        <w:t xml:space="preserve">"p25"</w:t>
      </w:r>
      <w:r>
        <w:rPr>
          <w:rStyle w:val="NormalTok"/>
        </w:rPr>
        <w:t xml:space="preserve">,</w:t>
      </w:r>
      <w:r>
        <w:br/>
      </w:r>
      <w:r>
        <w:rPr>
          <w:rStyle w:val="NormalTok"/>
        </w:rPr>
        <w:t xml:space="preserve">    </w:t>
      </w:r>
      <w:r>
        <w:rPr>
          <w:rStyle w:val="AttributeTok"/>
        </w:rPr>
        <w:t xml:space="preserve">numeric.p50 =</w:t>
      </w:r>
      <w:r>
        <w:rPr>
          <w:rStyle w:val="NormalTok"/>
        </w:rPr>
        <w:t xml:space="preserve"> </w:t>
      </w:r>
      <w:r>
        <w:rPr>
          <w:rStyle w:val="StringTok"/>
        </w:rPr>
        <w:t xml:space="preserve">"p50"</w:t>
      </w:r>
      <w:r>
        <w:rPr>
          <w:rStyle w:val="NormalTok"/>
        </w:rPr>
        <w:t xml:space="preserve">,</w:t>
      </w:r>
      <w:r>
        <w:br/>
      </w:r>
      <w:r>
        <w:rPr>
          <w:rStyle w:val="NormalTok"/>
        </w:rPr>
        <w:t xml:space="preserve">    </w:t>
      </w:r>
      <w:r>
        <w:rPr>
          <w:rStyle w:val="AttributeTok"/>
        </w:rPr>
        <w:t xml:space="preserve">numeric.p75 =</w:t>
      </w:r>
      <w:r>
        <w:rPr>
          <w:rStyle w:val="NormalTok"/>
        </w:rPr>
        <w:t xml:space="preserve"> </w:t>
      </w:r>
      <w:r>
        <w:rPr>
          <w:rStyle w:val="StringTok"/>
        </w:rPr>
        <w:t xml:space="preserve">"p75"</w:t>
      </w:r>
      <w:r>
        <w:rPr>
          <w:rStyle w:val="NormalTok"/>
        </w:rPr>
        <w:t xml:space="preserve">,</w:t>
      </w:r>
      <w:r>
        <w:br/>
      </w:r>
      <w:r>
        <w:rPr>
          <w:rStyle w:val="NormalTok"/>
        </w:rPr>
        <w:t xml:space="preserve">    </w:t>
      </w:r>
      <w:r>
        <w:rPr>
          <w:rStyle w:val="AttributeTok"/>
        </w:rPr>
        <w:t xml:space="preserve">numeric.p100 =</w:t>
      </w:r>
      <w:r>
        <w:rPr>
          <w:rStyle w:val="NormalTok"/>
        </w:rPr>
        <w:t xml:space="preserve"> </w:t>
      </w:r>
      <w:r>
        <w:rPr>
          <w:rStyle w:val="StringTok"/>
        </w:rPr>
        <w:t xml:space="preserve">"p100"</w:t>
      </w:r>
      <w:r>
        <w:rPr>
          <w:rStyle w:val="NormalTok"/>
        </w:rPr>
        <w:t xml:space="preserve">,</w:t>
      </w:r>
      <w:r>
        <w:br/>
      </w:r>
      <w:r>
        <w:rPr>
          <w:rStyle w:val="NormalTok"/>
        </w:rPr>
        <w:t xml:space="preserve">    </w:t>
      </w:r>
      <w:r>
        <w:rPr>
          <w:rStyle w:val="AttributeTok"/>
        </w:rPr>
        <w:t xml:space="preserve">numeric.hist =</w:t>
      </w:r>
      <w:r>
        <w:rPr>
          <w:rStyle w:val="NormalTok"/>
        </w:rPr>
        <w:t xml:space="preserve"> </w:t>
      </w:r>
      <w:r>
        <w:rPr>
          <w:rStyle w:val="StringTok"/>
        </w:rPr>
        <w:t xml:space="preserve">"histogram"</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cols_align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missing</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complete_rate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std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p0</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p25</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p50</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p75</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p100</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histogram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aidsr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babymort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bdratio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deathr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fertilty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gdp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lifeexpf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lifeexpm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literacy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literacyf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literacym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popincr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bl>
    <w:p>
      <w:pPr>
        <w:pStyle w:val="FirstParagraph"/>
      </w:pPr>
      <w:r>
        <w:rPr>
          <w:bCs/>
          <w:b/>
        </w:rPr>
        <w:t xml:space="preserve">?(caption)</w:t>
      </w:r>
    </w:p>
    <w:bookmarkEnd w:id="21"/>
    <w:p>
      <w:pPr>
        <w:pStyle w:val="BodyText"/>
      </w:pPr>
      <w:r>
        <w:t xml:space="preserve">We see from</w:t>
      </w:r>
      <w:r>
        <w:t xml:space="preserve"> </w:t>
      </w:r>
      <w:r>
        <w:rPr>
          <w:bCs/>
          <w:b/>
        </w:rPr>
        <w:t xml:space="preserve">?@tbl-desc-data</w:t>
      </w:r>
      <w:r>
        <w:t xml:space="preserve"> </w:t>
      </w:r>
      <w:r>
        <w:t xml:space="preserve">that some of the variables have missing data, specifically, the</w:t>
      </w:r>
      <w:r>
        <w:t xml:space="preserve"> </w:t>
      </w:r>
      <w:r>
        <w:rPr>
          <w:rStyle w:val="VerbatimChar"/>
        </w:rPr>
        <w:t xml:space="preserve">literacym</w:t>
      </w:r>
      <w:r>
        <w:t xml:space="preserve"> </w:t>
      </w:r>
      <w:r>
        <w:t xml:space="preserve">and the</w:t>
      </w:r>
      <w:r>
        <w:t xml:space="preserve"> </w:t>
      </w:r>
      <w:r>
        <w:rPr>
          <w:rStyle w:val="VerbatimChar"/>
        </w:rPr>
        <w:t xml:space="preserve">literacyf</w:t>
      </w:r>
      <w:r>
        <w:t xml:space="preserve"> </w:t>
      </w:r>
      <w:r>
        <w:t xml:space="preserve">variables have complete rate of 78%. Also, the standard deviation from each variable is in a different scale, ranging from 0.62 units in</w:t>
      </w:r>
      <w:r>
        <w:t xml:space="preserve"> </w:t>
      </w:r>
      <w:r>
        <w:rPr>
          <w:rStyle w:val="VerbatimChar"/>
        </w:rPr>
        <w:t xml:space="preserve">gdp</w:t>
      </w:r>
      <w:r>
        <w:t xml:space="preserve"> </w:t>
      </w:r>
      <w:r>
        <w:t xml:space="preserve">to 38.08 units in</w:t>
      </w:r>
      <w:r>
        <w:t xml:space="preserve"> </w:t>
      </w:r>
      <w:r>
        <w:rPr>
          <w:rStyle w:val="VerbatimChar"/>
        </w:rPr>
        <w:t xml:space="preserve">babymort</w:t>
      </w:r>
      <w:r>
        <w:t xml:space="preserve">. This makes sense because some variables are in a log-scale.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RStudio.app/Contents/Resources/app/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Given this scenario of differences between scales and variability, we would prefer to perform the principal component analysis with the correlation matrix instead of the covariance matrix.</w:t>
            </w:r>
          </w:p>
        </w:tc>
      </w:tr>
    </w:tbl>
    <w:bookmarkStart w:id="29" w:name="a"/>
    <w:p>
      <w:pPr>
        <w:pStyle w:val="Heading3"/>
      </w:pPr>
      <w:r>
        <w:t xml:space="preserve">a)</w:t>
      </w:r>
    </w:p>
    <w:p>
      <w:pPr>
        <w:pStyle w:val="FirstParagraph"/>
      </w:pPr>
      <w:r>
        <w:t xml:space="preserve">We perform two principal component analysis using: a) the covariance matrix and b) the correlation matrix.</w:t>
      </w:r>
    </w:p>
    <w:p>
      <w:pPr>
        <w:pStyle w:val="SourceCode"/>
      </w:pPr>
      <w:r>
        <w:rPr>
          <w:rStyle w:val="CommentTok"/>
        </w:rPr>
        <w:t xml:space="preserve"># get complete cases</w:t>
      </w:r>
      <w:r>
        <w:br/>
      </w:r>
      <w:r>
        <w:rPr>
          <w:rStyle w:val="NormalTok"/>
        </w:rPr>
        <w:t xml:space="preserve">world_complete </w:t>
      </w:r>
      <w:r>
        <w:rPr>
          <w:rStyle w:val="OtherTok"/>
        </w:rPr>
        <w:t xml:space="preserve">=</w:t>
      </w:r>
      <w:r>
        <w:rPr>
          <w:rStyle w:val="NormalTok"/>
        </w:rPr>
        <w:t xml:space="preserve"> world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r>
        <w:br/>
      </w:r>
      <w:r>
        <w:br/>
      </w:r>
      <w:r>
        <w:rPr>
          <w:rStyle w:val="CommentTok"/>
        </w:rPr>
        <w:t xml:space="preserve"># for the covariance matrix</w:t>
      </w:r>
      <w:r>
        <w:br/>
      </w:r>
      <w:r>
        <w:rPr>
          <w:rStyle w:val="NormalTok"/>
        </w:rPr>
        <w:t xml:space="preserve">pca_cov </w:t>
      </w:r>
      <w:r>
        <w:rPr>
          <w:rStyle w:val="OtherTok"/>
        </w:rPr>
        <w:t xml:space="preserve">=</w:t>
      </w:r>
      <w:r>
        <w:rPr>
          <w:rStyle w:val="NormalTok"/>
        </w:rPr>
        <w:t xml:space="preserve"> world_complete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prcomp</w:t>
      </w:r>
      <w:r>
        <w:rPr>
          <w:rStyle w:val="NormalTok"/>
        </w:rPr>
        <w:t xml:space="preserve">()</w:t>
      </w:r>
      <w:r>
        <w:br/>
      </w:r>
      <w:r>
        <w:br/>
      </w:r>
      <w:r>
        <w:rPr>
          <w:rStyle w:val="CommentTok"/>
        </w:rPr>
        <w:t xml:space="preserve"># for the correlation matrix</w:t>
      </w:r>
      <w:r>
        <w:br/>
      </w:r>
      <w:r>
        <w:rPr>
          <w:rStyle w:val="NormalTok"/>
        </w:rPr>
        <w:t xml:space="preserve">pca_cor </w:t>
      </w:r>
      <w:r>
        <w:rPr>
          <w:rStyle w:val="OtherTok"/>
        </w:rPr>
        <w:t xml:space="preserve">=</w:t>
      </w:r>
      <w:r>
        <w:rPr>
          <w:rStyle w:val="NormalTok"/>
        </w:rPr>
        <w:t xml:space="preserve"> world_complete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prcomp</w:t>
      </w:r>
      <w:r>
        <w:rPr>
          <w:rStyle w:val="NormalTok"/>
        </w:rPr>
        <w:t xml:space="preserve">(</w:t>
      </w:r>
      <w:r>
        <w:rPr>
          <w:rStyle w:val="AttributeTok"/>
        </w:rPr>
        <w:t xml:space="preserve">scale =</w:t>
      </w:r>
      <w:r>
        <w:rPr>
          <w:rStyle w:val="NormalTok"/>
        </w:rPr>
        <w:t xml:space="preserve"> </w:t>
      </w:r>
      <w:r>
        <w:rPr>
          <w:rStyle w:val="ConstantTok"/>
        </w:rPr>
        <w:t xml:space="preserve">TRUE</w:t>
      </w:r>
      <w:r>
        <w:rPr>
          <w:rStyle w:val="NormalTok"/>
        </w:rPr>
        <w:t xml:space="preserve">)</w:t>
      </w:r>
    </w:p>
    <w:p>
      <w:pPr>
        <w:pStyle w:val="FirstParagraph"/>
      </w:pPr>
      <w:r>
        <w:t xml:space="preserve">We plot the differences for the two analysis using each method. The plots will contain the first two principal components.</w:t>
      </w:r>
    </w:p>
    <w:p>
      <w:pPr>
        <w:pStyle w:val="SourceCode"/>
      </w:pPr>
      <w:r>
        <w:rPr>
          <w:rStyle w:val="NormalTok"/>
        </w:rPr>
        <w:t xml:space="preserve">data_p01 </w:t>
      </w:r>
      <w:r>
        <w:rPr>
          <w:rStyle w:val="OtherTok"/>
        </w:rPr>
        <w:t xml:space="preserve">=</w:t>
      </w:r>
      <w:r>
        <w:rPr>
          <w:rStyle w:val="NormalTok"/>
        </w:rPr>
        <w:t xml:space="preserve"> </w:t>
      </w:r>
      <w:r>
        <w:rPr>
          <w:rStyle w:val="FunctionTok"/>
        </w:rPr>
        <w:t xml:space="preserve">tibble</w:t>
      </w:r>
      <w:r>
        <w:rPr>
          <w:rStyle w:val="NormalTok"/>
        </w:rPr>
        <w:t xml:space="preserve">(</w:t>
      </w:r>
      <w:r>
        <w:rPr>
          <w:rStyle w:val="AttributeTok"/>
        </w:rPr>
        <w:t xml:space="preserve">var =</w:t>
      </w:r>
      <w:r>
        <w:rPr>
          <w:rStyle w:val="NormalTok"/>
        </w:rPr>
        <w:t xml:space="preserve"> </w:t>
      </w:r>
      <w:r>
        <w:rPr>
          <w:rStyle w:val="FunctionTok"/>
        </w:rPr>
        <w:t xml:space="preserve">colnames</w:t>
      </w:r>
      <w:r>
        <w:rPr>
          <w:rStyle w:val="NormalTok"/>
        </w:rPr>
        <w:t xml:space="preserve">(world_complete)[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pca_1 =</w:t>
      </w:r>
      <w:r>
        <w:rPr>
          <w:rStyle w:val="NormalTok"/>
        </w:rPr>
        <w:t xml:space="preserve"> pca_cov</w:t>
      </w:r>
      <w:r>
        <w:rPr>
          <w:rStyle w:val="SpecialCharTok"/>
        </w:rPr>
        <w:t xml:space="preserve">$</w:t>
      </w:r>
      <w:r>
        <w:rPr>
          <w:rStyle w:val="NormalTok"/>
        </w:rPr>
        <w:t xml:space="preserve">rotation[,</w:t>
      </w:r>
      <w:r>
        <w:rPr>
          <w:rStyle w:val="DecValTok"/>
        </w:rPr>
        <w:t xml:space="preserve">1</w:t>
      </w:r>
      <w:r>
        <w:rPr>
          <w:rStyle w:val="NormalTok"/>
        </w:rPr>
        <w:t xml:space="preserve">], </w:t>
      </w:r>
      <w:r>
        <w:rPr>
          <w:rStyle w:val="AttributeTok"/>
        </w:rPr>
        <w:t xml:space="preserve">pca_2 =</w:t>
      </w:r>
      <w:r>
        <w:rPr>
          <w:rStyle w:val="NormalTok"/>
        </w:rPr>
        <w:t xml:space="preserve"> pca_cov</w:t>
      </w:r>
      <w:r>
        <w:rPr>
          <w:rStyle w:val="SpecialCharTok"/>
        </w:rPr>
        <w:t xml:space="preserve">$</w:t>
      </w:r>
      <w:r>
        <w:rPr>
          <w:rStyle w:val="NormalTok"/>
        </w:rPr>
        <w:t xml:space="preserve">rotation[,</w:t>
      </w:r>
      <w:r>
        <w:rPr>
          <w:rStyle w:val="DecValTok"/>
        </w:rPr>
        <w:t xml:space="preserve">2</w:t>
      </w:r>
      <w:r>
        <w:rPr>
          <w:rStyle w:val="NormalTok"/>
        </w:rPr>
        <w:t xml:space="preserve">]) </w:t>
      </w:r>
      <w:r>
        <w:br/>
      </w:r>
      <w:r>
        <w:br/>
      </w:r>
      <w:r>
        <w:rPr>
          <w:rStyle w:val="NormalTok"/>
        </w:rPr>
        <w:t xml:space="preserve">data_p02 </w:t>
      </w:r>
      <w:r>
        <w:rPr>
          <w:rStyle w:val="OtherTok"/>
        </w:rPr>
        <w:t xml:space="preserve">=</w:t>
      </w:r>
      <w:r>
        <w:rPr>
          <w:rStyle w:val="NormalTok"/>
        </w:rPr>
        <w:t xml:space="preserve"> </w:t>
      </w:r>
      <w:r>
        <w:rPr>
          <w:rStyle w:val="FunctionTok"/>
        </w:rPr>
        <w:t xml:space="preserve">tibble</w:t>
      </w:r>
      <w:r>
        <w:rPr>
          <w:rStyle w:val="NormalTok"/>
        </w:rPr>
        <w:t xml:space="preserve">(</w:t>
      </w:r>
      <w:r>
        <w:rPr>
          <w:rStyle w:val="AttributeTok"/>
        </w:rPr>
        <w:t xml:space="preserve">var =</w:t>
      </w:r>
      <w:r>
        <w:rPr>
          <w:rStyle w:val="NormalTok"/>
        </w:rPr>
        <w:t xml:space="preserve"> </w:t>
      </w:r>
      <w:r>
        <w:rPr>
          <w:rStyle w:val="FunctionTok"/>
        </w:rPr>
        <w:t xml:space="preserve">colnames</w:t>
      </w:r>
      <w:r>
        <w:rPr>
          <w:rStyle w:val="NormalTok"/>
        </w:rPr>
        <w:t xml:space="preserve">(world_complete)[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pca_1 =</w:t>
      </w:r>
      <w:r>
        <w:rPr>
          <w:rStyle w:val="NormalTok"/>
        </w:rPr>
        <w:t xml:space="preserve"> pca_cor</w:t>
      </w:r>
      <w:r>
        <w:rPr>
          <w:rStyle w:val="SpecialCharTok"/>
        </w:rPr>
        <w:t xml:space="preserve">$</w:t>
      </w:r>
      <w:r>
        <w:rPr>
          <w:rStyle w:val="NormalTok"/>
        </w:rPr>
        <w:t xml:space="preserve">rotation[,</w:t>
      </w:r>
      <w:r>
        <w:rPr>
          <w:rStyle w:val="DecValTok"/>
        </w:rPr>
        <w:t xml:space="preserve">1</w:t>
      </w:r>
      <w:r>
        <w:rPr>
          <w:rStyle w:val="NormalTok"/>
        </w:rPr>
        <w:t xml:space="preserve">], </w:t>
      </w:r>
      <w:r>
        <w:rPr>
          <w:rStyle w:val="AttributeTok"/>
        </w:rPr>
        <w:t xml:space="preserve">pca_2 =</w:t>
      </w:r>
      <w:r>
        <w:rPr>
          <w:rStyle w:val="NormalTok"/>
        </w:rPr>
        <w:t xml:space="preserve"> pca_cor</w:t>
      </w:r>
      <w:r>
        <w:rPr>
          <w:rStyle w:val="SpecialCharTok"/>
        </w:rPr>
        <w:t xml:space="preserve">$</w:t>
      </w:r>
      <w:r>
        <w:rPr>
          <w:rStyle w:val="NormalTok"/>
        </w:rPr>
        <w:t xml:space="preserve">rotation[,</w:t>
      </w:r>
      <w:r>
        <w:rPr>
          <w:rStyle w:val="DecValTok"/>
        </w:rPr>
        <w:t xml:space="preserve">2</w:t>
      </w:r>
      <w:r>
        <w:rPr>
          <w:rStyle w:val="NormalTok"/>
        </w:rPr>
        <w:t xml:space="preserve">]) </w:t>
      </w:r>
      <w:r>
        <w:br/>
      </w:r>
      <w:r>
        <w:br/>
      </w:r>
      <w:r>
        <w:rPr>
          <w:rStyle w:val="NormalTok"/>
        </w:rPr>
        <w:t xml:space="preserve">p01 </w:t>
      </w:r>
      <w:r>
        <w:rPr>
          <w:rStyle w:val="OtherTok"/>
        </w:rPr>
        <w:t xml:space="preserve">=</w:t>
      </w:r>
      <w:r>
        <w:rPr>
          <w:rStyle w:val="NormalTok"/>
        </w:rPr>
        <w:t xml:space="preserve"> data_p01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pca_1, </w:t>
      </w:r>
      <w:r>
        <w:rPr>
          <w:rStyle w:val="AttributeTok"/>
        </w:rPr>
        <w:t xml:space="preserve">y =</w:t>
      </w:r>
      <w:r>
        <w:rPr>
          <w:rStyle w:val="NormalTok"/>
        </w:rPr>
        <w:t xml:space="preserve"> pca_2, </w:t>
      </w:r>
      <w:r>
        <w:rPr>
          <w:rStyle w:val="AttributeTok"/>
        </w:rPr>
        <w:t xml:space="preserve">label=</w:t>
      </w:r>
      <w:r>
        <w:rPr>
          <w:rStyle w:val="NormalTok"/>
        </w:rPr>
        <w:t xml:space="preserve"> var))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geom_label_repel</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0.65</w:t>
      </w:r>
      <w:r>
        <w:rPr>
          <w:rStyle w:val="NormalTok"/>
        </w:rPr>
        <w:t xml:space="preserve">, </w:t>
      </w:r>
      <w:r>
        <w:rPr>
          <w:rStyle w:val="FloatTok"/>
        </w:rPr>
        <w:t xml:space="preserve">0.50</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0.65</w:t>
      </w:r>
      <w:r>
        <w:rPr>
          <w:rStyle w:val="NormalTok"/>
        </w:rPr>
        <w:t xml:space="preserve">, </w:t>
      </w:r>
      <w:r>
        <w:rPr>
          <w:rStyle w:val="FloatTok"/>
        </w:rPr>
        <w:t xml:space="preserve">0.65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"PC1 (cov)"</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"PC2 (cov)"</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br/>
      </w:r>
      <w:r>
        <w:br/>
      </w:r>
      <w:r>
        <w:rPr>
          <w:rStyle w:val="NormalTok"/>
        </w:rPr>
        <w:t xml:space="preserve">p02 </w:t>
      </w:r>
      <w:r>
        <w:rPr>
          <w:rStyle w:val="OtherTok"/>
        </w:rPr>
        <w:t xml:space="preserve">=</w:t>
      </w:r>
      <w:r>
        <w:rPr>
          <w:rStyle w:val="NormalTok"/>
        </w:rPr>
        <w:t xml:space="preserve"> data_p02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pca_1, </w:t>
      </w:r>
      <w:r>
        <w:rPr>
          <w:rStyle w:val="AttributeTok"/>
        </w:rPr>
        <w:t xml:space="preserve">y =</w:t>
      </w:r>
      <w:r>
        <w:rPr>
          <w:rStyle w:val="NormalTok"/>
        </w:rPr>
        <w:t xml:space="preserve"> pca_2, </w:t>
      </w:r>
      <w:r>
        <w:rPr>
          <w:rStyle w:val="AttributeTok"/>
        </w:rPr>
        <w:t xml:space="preserve">label=</w:t>
      </w:r>
      <w:r>
        <w:rPr>
          <w:rStyle w:val="NormalTok"/>
        </w:rPr>
        <w:t xml:space="preserve"> var))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geom_label_repel</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0.65</w:t>
      </w:r>
      <w:r>
        <w:rPr>
          <w:rStyle w:val="NormalTok"/>
        </w:rPr>
        <w:t xml:space="preserve">, </w:t>
      </w:r>
      <w:r>
        <w:rPr>
          <w:rStyle w:val="FloatTok"/>
        </w:rPr>
        <w:t xml:space="preserve">0.50</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0.65</w:t>
      </w:r>
      <w:r>
        <w:rPr>
          <w:rStyle w:val="NormalTok"/>
        </w:rPr>
        <w:t xml:space="preserve">, </w:t>
      </w:r>
      <w:r>
        <w:rPr>
          <w:rStyle w:val="FloatTok"/>
        </w:rPr>
        <w:t xml:space="preserve">0.65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"PC1 (cor)"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"PC2 (cor)"</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br/>
      </w:r>
      <w:r>
        <w:br/>
      </w:r>
      <w:r>
        <w:rPr>
          <w:rStyle w:val="NormalTok"/>
        </w:rPr>
        <w:t xml:space="preserve">p01 </w:t>
      </w:r>
      <w:r>
        <w:rPr>
          <w:rStyle w:val="SpecialCharTok"/>
        </w:rPr>
        <w:t xml:space="preserve">|</w:t>
      </w:r>
      <w:r>
        <w:rPr>
          <w:rStyle w:val="NormalTok"/>
        </w:rPr>
        <w:t xml:space="preserve"> p02 </w:t>
      </w:r>
    </w:p>
    <w:tbl>
      <w:tblPr>
        <w:tblStyle w:val="Table"/>
        <w:tblW w:type="pct" w:w="5000"/>
        <w:tblLook w:firstRow="0" w:lastRow="0" w:firstColumn="0" w:lastColumn="0" w:noHBand="0" w:noVBand="0" w:val="0000"/>
        <w:jc w:val="start"/>
      </w:tblPr>
      <w:tblGrid>
        <w:gridCol w:w="7920"/>
      </w:tblGrid>
      <w:tr>
        <w:tc>
          <w:tcPr/>
          <w:bookmarkStart w:id="28" w:name="fig-plot-comparison"/>
          <w:p>
            <w:pPr>
              <w:jc w:val="center"/>
            </w:pPr>
            <w:r>
              <w:drawing>
                <wp:inline>
                  <wp:extent cx="5334000" cy="2051538"/>
                  <wp:effectExtent b="0" l="0" r="0" t="0"/>
                  <wp:docPr descr="" title="" id="26" name="Picture"/>
                  <a:graphic>
                    <a:graphicData uri="http://schemas.openxmlformats.org/drawingml/2006/picture">
                      <pic:pic>
                        <pic:nvPicPr>
                          <pic:cNvPr descr="index_files/figure-docx/fig-plot-comparison-1.png" id="27" name="Picture"/>
                          <pic:cNvPicPr>
                            <a:picLocks noChangeArrowheads="1" noChangeAspect="1"/>
                          </pic:cNvPicPr>
                        </pic:nvPicPr>
                        <pic:blipFill>
                          <a:blip r:embed="rId25"/>
                          <a:stretch>
                            <a:fillRect/>
                          </a:stretch>
                        </pic:blipFill>
                        <pic:spPr bwMode="auto">
                          <a:xfrm>
                            <a:off x="0" y="0"/>
                            <a:ext cx="5334000" cy="205153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Plot of principal component loadings for the first two pcs using the covariance matrix (left) and the correlation matrix (right)</w:t>
            </w:r>
          </w:p>
          <w:bookmarkEnd w:id="28"/>
        </w:tc>
      </w:tr>
    </w:tbl>
    <w:p>
      <w:pPr>
        <w:pStyle w:val="BodyText"/>
      </w:pPr>
      <w:r>
        <w:t xml:space="preserve">Based on the results presented on</w:t>
      </w:r>
      <w:r>
        <w:t xml:space="preserve"> </w:t>
      </w:r>
      <w:hyperlink w:anchor="fig-plot-comparison">
        <w:r>
          <w:rPr>
            <w:rStyle w:val="Hyperlink"/>
          </w:rPr>
          <w:t xml:space="preserve">Figure 1</w:t>
        </w:r>
      </w:hyperlink>
      <w:r>
        <w:t xml:space="preserve"> </w:t>
      </w:r>
      <w:r>
        <w:t xml:space="preserve">we can conclude that the loadings across the two solutions differ (although the plot only presented the first two components for each solution, the same behavior, or a lesser extent of it, is observed on the remainder of the components). The right plot shows that the variables related to</w:t>
      </w:r>
      <w:r>
        <w:t xml:space="preserve"> </w:t>
      </w:r>
      <w:r>
        <w:rPr>
          <w:rStyle w:val="VerbatimChar"/>
        </w:rPr>
        <w:t xml:space="preserve">literacy</w:t>
      </w:r>
      <w:r>
        <w:t xml:space="preserve"> </w:t>
      </w:r>
      <w:r>
        <w:t xml:space="preserve">have larger values on the first and second principal component than the other variables (except for</w:t>
      </w:r>
      <w:r>
        <w:t xml:space="preserve"> </w:t>
      </w:r>
      <w:r>
        <w:rPr>
          <w:rStyle w:val="VerbatimChar"/>
        </w:rPr>
        <w:t xml:space="preserve">babymort</w:t>
      </w:r>
      <w:r>
        <w:t xml:space="preserve"> </w:t>
      </w:r>
      <w:r>
        <w:t xml:space="preserve">in the second component). This behavior matches the difference in standard deviation we see in</w:t>
      </w:r>
      <w:r>
        <w:t xml:space="preserve"> </w:t>
      </w:r>
      <w:r>
        <w:rPr>
          <w:bCs/>
          <w:b/>
        </w:rPr>
        <w:t xml:space="preserve">?@tbl-desc-data</w:t>
      </w:r>
      <w:r>
        <w:t xml:space="preserve">. On the other hand, the left plot shows a more distributed pattern of the loadings, where no variable stands out from the rest. The difference between the loadings across the two solutions can be explain by the scale-dependency of the technique. Given this difference, I think it is more appropriate to analyze this dataset with the</w:t>
      </w:r>
      <w:r>
        <w:t xml:space="preserve"> </w:t>
      </w:r>
      <w:r>
        <w:rPr>
          <w:iCs/>
          <w:i/>
        </w:rPr>
        <w:t xml:space="preserve">correlation matrix</w:t>
      </w:r>
      <w:r>
        <w:t xml:space="preserve">.</w:t>
      </w:r>
    </w:p>
    <w:bookmarkEnd w:id="29"/>
    <w:bookmarkStart w:id="37" w:name="b"/>
    <w:p>
      <w:pPr>
        <w:pStyle w:val="Heading3"/>
      </w:pPr>
      <w:r>
        <w:t xml:space="preserve">b)</w:t>
      </w:r>
    </w:p>
    <w:p>
      <w:pPr>
        <w:pStyle w:val="FirstParagraph"/>
      </w:pPr>
      <w:r>
        <w:t xml:space="preserve">To investigate the number of necessary principal components to adequately describe the variability among the variables, several approaches will be taken.</w:t>
      </w:r>
    </w:p>
    <w:p>
      <w:pPr>
        <w:numPr>
          <w:ilvl w:val="0"/>
          <w:numId w:val="1001"/>
        </w:numPr>
        <w:pStyle w:val="Compact"/>
      </w:pPr>
      <w:r>
        <w:t xml:space="preserve">Scree-plot &amp; Kaiser rule</w:t>
      </w:r>
    </w:p>
    <w:p>
      <w:pPr>
        <w:pStyle w:val="SourceCode"/>
      </w:pPr>
      <w:r>
        <w:rPr>
          <w:rStyle w:val="NormalTok"/>
        </w:rPr>
        <w:t xml:space="preserve">pca_cor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rPr>
          <w:rStyle w:val="AttributeTok"/>
        </w:rPr>
        <w:t xml:space="preserve">matrix =</w:t>
      </w:r>
      <w:r>
        <w:rPr>
          <w:rStyle w:val="NormalTok"/>
        </w:rPr>
        <w:t xml:space="preserve"> </w:t>
      </w:r>
      <w:r>
        <w:rPr>
          <w:rStyle w:val="StringTok"/>
        </w:rPr>
        <w:t xml:space="preserve">"eigenvalues"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lambda =</w:t>
      </w:r>
      <w:r>
        <w:rPr>
          <w:rStyle w:val="NormalTok"/>
        </w:rPr>
        <w:t xml:space="preserve"> std.dev </w:t>
      </w:r>
      <w:r>
        <w:rPr>
          <w:rStyle w:val="SpecialCharTok"/>
        </w:rPr>
        <w:t xml:space="preserve">*</w:t>
      </w:r>
      <w:r>
        <w:rPr>
          <w:rStyle w:val="NormalTok"/>
        </w:rPr>
        <w:t xml:space="preserve"> std.dev)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(PC, lambda))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"#56B4E9"</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0</w:t>
      </w:r>
      <w:r>
        <w:rPr>
          <w:rStyle w:val="NormalTok"/>
        </w:rPr>
        <w:t xml:space="preserve">, </w:t>
      </w:r>
      <w:r>
        <w:rPr>
          <w:rStyle w:val="AttributeTok"/>
        </w:rPr>
        <w:t xml:space="preserve">intercept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"PCA"</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DecValTok"/>
        </w:rPr>
        <w:t xml:space="preserve">1</w:t>
      </w:r>
      <w:r>
        <w:rPr>
          <w:rStyle w:val="SpecialCharTok"/>
        </w:rPr>
        <w:t xml:space="preserve">:</w:t>
      </w:r>
      <w:r>
        <w:rPr>
          <w:rStyle w:val="DecVal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theme_minimal_hgrid</w:t>
      </w:r>
      <w:r>
        <w:rPr>
          <w:rStyle w:val="NormalTok"/>
        </w:rPr>
        <w:t xml:space="preserve">(</w:t>
      </w:r>
      <w:r>
        <w:rPr>
          <w:rStyle w:val="DecValTok"/>
        </w:rPr>
        <w:t xml:space="preserve">12</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33" w:name="fig-scree-plot"/>
          <w:p>
            <w:pPr>
              <w:jc w:val="center"/>
            </w:pPr>
            <w:r>
              <w:drawing>
                <wp:inline>
                  <wp:extent cx="5334000" cy="2963333"/>
                  <wp:effectExtent b="0" l="0" r="0" t="0"/>
                  <wp:docPr descr="" title="" id="31" name="Picture"/>
                  <a:graphic>
                    <a:graphicData uri="http://schemas.openxmlformats.org/drawingml/2006/picture">
                      <pic:pic>
                        <pic:nvPicPr>
                          <pic:cNvPr descr="index_files/figure-docx/fig-scree-plot-1.png" id="32" name="Picture"/>
                          <pic:cNvPicPr>
                            <a:picLocks noChangeArrowheads="1" noChangeAspect="1"/>
                          </pic:cNvPicPr>
                        </pic:nvPicPr>
                        <pic:blipFill>
                          <a:blip r:embed="rId30"/>
                          <a:stretch>
                            <a:fillRect/>
                          </a:stretch>
                        </pic:blipFill>
                        <pic:spPr bwMode="auto">
                          <a:xfrm>
                            <a:off x="0" y="0"/>
                            <a:ext cx="5334000" cy="29633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Scree plot and Kaiser rule (dotted red line)</w:t>
            </w:r>
          </w:p>
          <w:bookmarkEnd w:id="33"/>
        </w:tc>
      </w:tr>
    </w:tbl>
    <w:p>
      <w:pPr>
        <w:pStyle w:val="BodyText"/>
      </w:pPr>
      <w:r>
        <w:t xml:space="preserve">The scree plot suggests that we need to extract two principal components, because at pca number 3 we notice the</w:t>
      </w:r>
      <w:r>
        <w:t xml:space="preserve"> </w:t>
      </w:r>
      <w:r>
        <w:t xml:space="preserve">“</w:t>
      </w:r>
      <w:r>
        <w:t xml:space="preserve">elbow</w:t>
      </w:r>
      <w:r>
        <w:t xml:space="preserve">”</w:t>
      </w:r>
      <w:r>
        <w:t xml:space="preserve"> </w:t>
      </w:r>
      <w:r>
        <w:t xml:space="preserve">in the amount of variance explained. After the second component, the remainder principal components account for a negligible amount of variance. Plus, the Kaiser rule also suggest that we need to extract two principal components because only the first two have an eigenvalue greater than one.</w:t>
      </w:r>
    </w:p>
    <w:p>
      <w:pPr>
        <w:numPr>
          <w:ilvl w:val="0"/>
          <w:numId w:val="1002"/>
        </w:numPr>
        <w:pStyle w:val="Compact"/>
      </w:pPr>
      <w:r>
        <w:t xml:space="preserve">Proportion of explained variance.</w:t>
      </w:r>
    </w:p>
    <w:bookmarkStart w:id="34" w:name="tbl-percentage"/>
    <w:p>
      <w:pPr>
        <w:pStyle w:val="SourceCode"/>
      </w:pPr>
      <w:r>
        <w:rPr>
          <w:rStyle w:val="NormalTok"/>
        </w:rPr>
        <w:t xml:space="preserve">pca_cor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rPr>
          <w:rStyle w:val="AttributeTok"/>
        </w:rPr>
        <w:t xml:space="preserve">matrix =</w:t>
      </w:r>
      <w:r>
        <w:rPr>
          <w:rStyle w:val="NormalTok"/>
        </w:rPr>
        <w:t xml:space="preserve"> </w:t>
      </w:r>
      <w:r>
        <w:rPr>
          <w:rStyle w:val="StringTok"/>
        </w:rPr>
        <w:t xml:space="preserve">"eigenvalues"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 =</w:t>
      </w:r>
      <w:r>
        <w:rPr>
          <w:rStyle w:val="NormalTok"/>
        </w:rPr>
        <w:t xml:space="preserve"> </w:t>
      </w:r>
      <w:r>
        <w:rPr>
          <w:rStyle w:val="FunctionTok"/>
        </w:rPr>
        <w:t xml:space="preserve">round</w:t>
      </w:r>
      <w:r>
        <w:rPr>
          <w:rStyle w:val="NormalTok"/>
        </w:rPr>
        <w:t xml:space="preserve">(percent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per.cum =</w:t>
      </w:r>
      <w:r>
        <w:rPr>
          <w:rStyle w:val="NormalTok"/>
        </w:rPr>
        <w:t xml:space="preserve"> </w:t>
      </w:r>
      <w:r>
        <w:rPr>
          <w:rStyle w:val="FunctionTok"/>
        </w:rPr>
        <w:t xml:space="preserve">round</w:t>
      </w:r>
      <w:r>
        <w:rPr>
          <w:rStyle w:val="NormalTok"/>
        </w:rPr>
        <w:t xml:space="preserve">(cumulative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.keep =</w:t>
      </w:r>
      <w:r>
        <w:rPr>
          <w:rStyle w:val="NormalTok"/>
        </w:rPr>
        <w:t xml:space="preserve"> </w:t>
      </w:r>
      <w:r>
        <w:rPr>
          <w:rStyle w:val="StringTok"/>
        </w:rPr>
        <w:t xml:space="preserve">"unused"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std.dev)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cols_width</w:t>
      </w:r>
      <w:r>
        <w:rPr>
          <w:rStyle w:val="NormalTok"/>
        </w:rPr>
        <w:t xml:space="preserve">(</w:t>
      </w:r>
      <w:r>
        <w:br/>
      </w:r>
      <w:r>
        <w:rPr>
          <w:rStyle w:val="NormalTok"/>
        </w:rPr>
        <w:t xml:space="preserve">    per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120</w:t>
      </w:r>
      <w:r>
        <w:rPr>
          <w:rStyle w:val="NormalTok"/>
        </w:rPr>
        <w:t xml:space="preserve">),</w:t>
      </w:r>
      <w:r>
        <w:br/>
      </w:r>
      <w:r>
        <w:rPr>
          <w:rStyle w:val="NormalTok"/>
        </w:rPr>
        <w:t xml:space="preserve">    per.cum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120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per =</w:t>
      </w:r>
      <w:r>
        <w:rPr>
          <w:rStyle w:val="NormalTok"/>
        </w:rPr>
        <w:t xml:space="preserve"> </w:t>
      </w:r>
      <w:r>
        <w:rPr>
          <w:rStyle w:val="StringTok"/>
        </w:rPr>
        <w:t xml:space="preserve">"Percentage"</w:t>
      </w:r>
      <w:r>
        <w:rPr>
          <w:rStyle w:val="NormalTok"/>
        </w:rPr>
        <w:t xml:space="preserve">,</w:t>
      </w:r>
      <w:r>
        <w:br/>
      </w:r>
      <w:r>
        <w:rPr>
          <w:rStyle w:val="NormalTok"/>
        </w:rPr>
        <w:t xml:space="preserve">    </w:t>
      </w:r>
      <w:r>
        <w:rPr>
          <w:rStyle w:val="AttributeTok"/>
        </w:rPr>
        <w:t xml:space="preserve">per.cum =</w:t>
      </w:r>
      <w:r>
        <w:rPr>
          <w:rStyle w:val="NormalTok"/>
        </w:rPr>
        <w:t xml:space="preserve"> </w:t>
      </w:r>
      <w:r>
        <w:rPr>
          <w:rStyle w:val="StringTok"/>
        </w:rPr>
        <w:t xml:space="preserve">"Cummulative"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cols_align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PC</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Percentage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Cummulative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100.00</w:t>
            </w:r>
          </w:p>
        </w:tc>
      </w:tr>
    </w:tbl>
    <w:p>
      <w:pPr>
        <w:pStyle w:val="FirstParagraph"/>
      </w:pPr>
      <w:r>
        <w:rPr>
          <w:bCs/>
          <w:b/>
        </w:rPr>
        <w:t xml:space="preserve">?(caption)</w:t>
      </w:r>
    </w:p>
    <w:bookmarkEnd w:id="34"/>
    <w:p>
      <w:pPr>
        <w:pStyle w:val="BodyText"/>
      </w:pPr>
      <w:r>
        <w:t xml:space="preserve">Based on</w:t>
      </w:r>
      <w:r>
        <w:t xml:space="preserve"> </w:t>
      </w:r>
      <w:r>
        <w:rPr>
          <w:bCs/>
          <w:b/>
        </w:rPr>
        <w:t xml:space="preserve">?@tbl-percentage</w:t>
      </w:r>
      <w:r>
        <w:t xml:space="preserve">, the analysis indicates that two principal components explain over a 80% of the variance. Even thought is subjective, I believe that this percentage is good enough for this context. Also, two components explaining over a 80% in this analysis with 13 variables is acceptable/awesome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RStudio.app/Contents/Resources/app/quarto/share/formats/docx/note.png" id="3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three methods (scree-plot, Kaiser rule and proportion of variance explained) suggest that 2 principal components appear to be necessary to describe adequately the variability in these variables. The rest of the analysis will be done using two principal components.</w:t>
            </w:r>
          </w:p>
        </w:tc>
      </w:tr>
    </w:tbl>
    <w:bookmarkEnd w:id="37"/>
    <w:bookmarkStart w:id="39" w:name="c"/>
    <w:p>
      <w:pPr>
        <w:pStyle w:val="Heading3"/>
      </w:pPr>
      <w:r>
        <w:t xml:space="preserve">c)</w:t>
      </w:r>
    </w:p>
    <w:p>
      <w:pPr>
        <w:pStyle w:val="FirstParagraph"/>
      </w:pPr>
      <w:r>
        <w:t xml:space="preserve">In order to make interpretations of the two principal components, we will take a look at the loadings:</w:t>
      </w:r>
    </w:p>
    <w:bookmarkStart w:id="38" w:name="tbl-loadings-cor"/>
    <w:p>
      <w:pPr>
        <w:pStyle w:val="SourceCode"/>
      </w:pPr>
      <w:r>
        <w:rPr>
          <w:rStyle w:val="NormalTok"/>
        </w:rPr>
        <w:t xml:space="preserve">data_p02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cols_width</w:t>
      </w:r>
      <w:r>
        <w:rPr>
          <w:rStyle w:val="NormalTok"/>
        </w:rPr>
        <w:t xml:space="preserve">(</w:t>
      </w:r>
      <w:r>
        <w:br/>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150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cols_align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var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pca_1 =</w:t>
      </w:r>
      <w:r>
        <w:rPr>
          <w:rStyle w:val="NormalTok"/>
        </w:rPr>
        <w:t xml:space="preserve"> </w:t>
      </w:r>
      <w:r>
        <w:rPr>
          <w:rStyle w:val="StringTok"/>
        </w:rPr>
        <w:t xml:space="preserve">"PC1"</w:t>
      </w:r>
      <w:r>
        <w:rPr>
          <w:rStyle w:val="NormalTok"/>
        </w:rPr>
        <w:t xml:space="preserve">,</w:t>
      </w:r>
      <w:r>
        <w:br/>
      </w:r>
      <w:r>
        <w:rPr>
          <w:rStyle w:val="NormalTok"/>
        </w:rPr>
        <w:t xml:space="preserve">    </w:t>
      </w:r>
      <w:r>
        <w:rPr>
          <w:rStyle w:val="AttributeTok"/>
        </w:rPr>
        <w:t xml:space="preserve">pca_2 =</w:t>
      </w:r>
      <w:r>
        <w:rPr>
          <w:rStyle w:val="NormalTok"/>
        </w:rPr>
        <w:t xml:space="preserve"> </w:t>
      </w:r>
      <w:r>
        <w:rPr>
          <w:rStyle w:val="StringTok"/>
        </w:rPr>
        <w:t xml:space="preserve">"PC2"</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PC1</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PC2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lifeexpf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lifeexpm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literacy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popincr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babymort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deathr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gdp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aidsr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bdratio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fertilty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literacym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literacyf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r>
    </w:tbl>
    <w:p>
      <w:pPr>
        <w:pStyle w:val="FirstParagraph"/>
      </w:pPr>
      <w:r>
        <w:rPr>
          <w:bCs/>
          <w:b/>
        </w:rPr>
        <w:t xml:space="preserve">?(caption)</w:t>
      </w:r>
    </w:p>
    <w:bookmarkEnd w:id="38"/>
    <w:p>
      <w:pPr>
        <w:pStyle w:val="BodyText"/>
      </w:pPr>
      <w:r>
        <w:t xml:space="preserve">Based on</w:t>
      </w:r>
      <w:r>
        <w:t xml:space="preserve"> </w:t>
      </w:r>
      <w:r>
        <w:rPr>
          <w:bCs/>
          <w:b/>
        </w:rPr>
        <w:t xml:space="preserve">?@tbl-loadings-cor</w:t>
      </w:r>
      <w:r>
        <w:t xml:space="preserve"> </w:t>
      </w:r>
      <w:r>
        <w:t xml:space="preserve">and its graphical representation in</w:t>
      </w:r>
      <w:r>
        <w:t xml:space="preserve"> </w:t>
      </w:r>
      <w:hyperlink w:anchor="fig-plot-comparison">
        <w:r>
          <w:rPr>
            <w:rStyle w:val="Hyperlink"/>
          </w:rPr>
          <w:t xml:space="preserve">Figure 1</w:t>
        </w:r>
      </w:hyperlink>
      <w:r>
        <w:t xml:space="preserve"> </w:t>
      </w:r>
      <w:r>
        <w:t xml:space="preserve">(right plot) we can interpret each principal component as follows:</w:t>
      </w:r>
    </w:p>
    <w:p>
      <w:pPr>
        <w:numPr>
          <w:ilvl w:val="0"/>
          <w:numId w:val="1003"/>
        </w:numPr>
      </w:pPr>
      <w:r>
        <w:rPr>
          <w:iCs/>
          <w:i/>
        </w:rPr>
        <w:t xml:space="preserve">Principal Component 1:</w:t>
      </w:r>
      <w:r>
        <w:t xml:space="preserve"> </w:t>
      </w:r>
      <w:r>
        <w:t xml:space="preserve">This component seems to be associated with general or overall development indicators. High positive scores on PC1 correlate with high GDP, high literacy rates (for both males and females), and higher life expectancy for both males and females. This suggests that countries with higher scores on PC1 are likely to be more developed, with stronger economies and better health and education systems. On the other hand, countries with low scores on PC1 exhibit higher rates of infant mortality (babymort), higher AIDS rates (aidsr), and higher birth rates (birthr). These are typical of less developed countries where healthcare and education systems are weaker and economic activity is lower.</w:t>
      </w:r>
    </w:p>
    <w:p>
      <w:pPr>
        <w:numPr>
          <w:ilvl w:val="0"/>
          <w:numId w:val="1003"/>
        </w:numPr>
      </w:pPr>
      <w:r>
        <w:rPr>
          <w:iCs/>
          <w:i/>
        </w:rPr>
        <w:t xml:space="preserve">Principal Component 2:</w:t>
      </w:r>
      <w:r>
        <w:t xml:space="preserve"> </w:t>
      </w:r>
      <w:r>
        <w:t xml:space="preserve">This component captures more demographic variables and aspects of population dynamics. Notably, countries with high scores on PC2 have higher death rates (deathr) and possibly lower population increases (popincr), indicating countries that may be experiencing either low birth rates, high mortality rates, or a combination of both. On the other end, countries with low scores on PC2 have higher fertility, birth rates (birthr), and a higher birth to death ratio (bdratio), suggesting these are countries with younger populations and potentially higher population growth due to these factors.</w:t>
      </w:r>
    </w:p>
    <w:bookmarkEnd w:id="39"/>
    <w:bookmarkStart w:id="44" w:name="d"/>
    <w:p>
      <w:pPr>
        <w:pStyle w:val="Heading3"/>
      </w:pPr>
      <w:r>
        <w:t xml:space="preserve">d)</w:t>
      </w:r>
    </w:p>
    <w:p>
      <w:pPr>
        <w:pStyle w:val="SourceCode"/>
      </w:pPr>
      <w:r>
        <w:rPr>
          <w:rStyle w:val="NormalTok"/>
        </w:rPr>
        <w:t xml:space="preserve">world_complete </w:t>
      </w:r>
      <w:r>
        <w:rPr>
          <w:rStyle w:val="OtherTok"/>
        </w:rPr>
        <w:t xml:space="preserve">=</w:t>
      </w:r>
      <w:r>
        <w:rPr>
          <w:rStyle w:val="NormalTok"/>
        </w:rPr>
        <w:t xml:space="preserve"> pca_cor </w:t>
      </w:r>
      <w:r>
        <w:rPr>
          <w:rStyle w:val="SpecialCharTok"/>
        </w:rPr>
        <w:t xml:space="preserve">|&gt;</w:t>
      </w:r>
      <w:r>
        <w:br/>
      </w:r>
      <w:r>
        <w:rPr>
          <w:rStyle w:val="NormalTok"/>
        </w:rPr>
        <w:t xml:space="preserve">  </w:t>
      </w:r>
      <w:r>
        <w:rPr>
          <w:rStyle w:val="FunctionTok"/>
        </w:rPr>
        <w:t xml:space="preserve">augment</w:t>
      </w:r>
      <w:r>
        <w:rPr>
          <w:rStyle w:val="NormalTok"/>
        </w:rPr>
        <w:t xml:space="preserve">(world_complete)</w:t>
      </w:r>
      <w:r>
        <w:br/>
      </w:r>
      <w:r>
        <w:br/>
      </w:r>
      <w:r>
        <w:rPr>
          <w:rStyle w:val="NormalTok"/>
        </w:rPr>
        <w:t xml:space="preserve">world_complete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.fittedPC1, </w:t>
      </w:r>
      <w:r>
        <w:rPr>
          <w:rStyle w:val="AttributeTok"/>
        </w:rPr>
        <w:t xml:space="preserve">y =</w:t>
      </w:r>
      <w:r>
        <w:rPr>
          <w:rStyle w:val="NormalTok"/>
        </w:rPr>
        <w:t xml:space="preserve"> .fittedPC2, </w:t>
      </w:r>
      <w:r>
        <w:rPr>
          <w:rStyle w:val="AttributeTok"/>
        </w:rPr>
        <w:t xml:space="preserve">color =</w:t>
      </w:r>
      <w:r>
        <w:rPr>
          <w:rStyle w:val="NormalTok"/>
        </w:rPr>
        <w:t xml:space="preserve"> region),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"PC1"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"PC2"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"Dark2"</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43" w:name="fig-pca-01"/>
          <w:p>
            <w:pPr>
              <w:jc w:val="center"/>
            </w:pPr>
            <w:r>
              <w:drawing>
                <wp:inline>
                  <wp:extent cx="5334000" cy="4267200"/>
                  <wp:effectExtent b="0" l="0" r="0" t="0"/>
                  <wp:docPr descr="" title="" id="41" name="Picture"/>
                  <a:graphic>
                    <a:graphicData uri="http://schemas.openxmlformats.org/drawingml/2006/picture">
                      <pic:pic>
                        <pic:nvPicPr>
                          <pic:cNvPr descr="index_files/figure-docx/fig-pca-01-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Plot of principal component by region</w:t>
            </w:r>
          </w:p>
          <w:bookmarkEnd w:id="43"/>
        </w:tc>
      </w:tr>
    </w:tbl>
    <w:p>
      <w:pPr>
        <w:pStyle w:val="BodyText"/>
      </w:pPr>
      <w:r>
        <w:t xml:space="preserve">Based on</w:t>
      </w:r>
      <w:r>
        <w:t xml:space="preserve"> </w:t>
      </w:r>
      <w:hyperlink w:anchor="fig-pca-01">
        <w:r>
          <w:rPr>
            <w:rStyle w:val="Hyperlink"/>
          </w:rPr>
          <w:t xml:space="preserve">Figure 3</w:t>
        </w:r>
      </w:hyperlink>
      <w:r>
        <w:t xml:space="preserve">, there does appear to be an association between the component scores and the region a country belongs to. For instance:</w:t>
      </w:r>
    </w:p>
    <w:p>
      <w:pPr>
        <w:numPr>
          <w:ilvl w:val="0"/>
          <w:numId w:val="1004"/>
        </w:numPr>
      </w:pPr>
      <w:r>
        <w:t xml:space="preserve">OECD countries are generally clustered towards higher values on PC1. This suggests that OECD countries, which are typically more economically developed, have higher GDP, literacy rates, and life expectancy, characteristics that are positively correlated with PC1.</w:t>
      </w:r>
    </w:p>
    <w:p>
      <w:pPr>
        <w:numPr>
          <w:ilvl w:val="0"/>
          <w:numId w:val="1004"/>
        </w:numPr>
      </w:pPr>
      <w:r>
        <w:t xml:space="preserve">African countries are spread across both PC1 and PC2, but they are generally clustered towards lower PC1 values, indicating lower GDP, literacy rates, and life expectancy. The spread across PC2 might indicate variability in demographic patterns within the region, such as differences in birth and death rates.</w:t>
      </w:r>
    </w:p>
    <w:p>
      <w:pPr>
        <w:numPr>
          <w:ilvl w:val="0"/>
          <w:numId w:val="1004"/>
        </w:numPr>
      </w:pPr>
      <w:r>
        <w:t xml:space="preserve">Latin American, East European, Middle Eastern, and Pacific/Asian countries appear to be intermediate on PC1, which would suggest these regions have varying levels of development. They’re not as high as OECD countries but not as low as many African countries.</w:t>
      </w:r>
    </w:p>
    <w:p>
      <w:pPr>
        <w:numPr>
          <w:ilvl w:val="0"/>
          <w:numId w:val="1004"/>
        </w:numPr>
      </w:pPr>
      <w:r>
        <w:t xml:space="preserve">Latin American countries show a slight trend towards lower values on PC2, which could imply higher birth rates and fertility rates in these countries.</w:t>
      </w:r>
    </w:p>
    <w:p>
      <w:pPr>
        <w:numPr>
          <w:ilvl w:val="0"/>
          <w:numId w:val="1004"/>
        </w:numPr>
      </w:pPr>
      <w:r>
        <w:t xml:space="preserve">East European countries seem to be more variable along PC2, which might reflect a diversity in demographic transitions, possibly due to the varying economic and historical contexts within this region.</w:t>
      </w:r>
    </w:p>
    <w:p>
      <w:pPr>
        <w:numPr>
          <w:ilvl w:val="0"/>
          <w:numId w:val="1004"/>
        </w:numPr>
      </w:pPr>
      <w:r>
        <w:t xml:space="preserve">Middle Eastern and Pacific/Asian countries are scattered across both components, indicating a wide variety of economic, health, and demographic profiles within these regions.</w:t>
      </w:r>
    </w:p>
    <w:bookmarkEnd w:id="44"/>
    <w:bookmarkStart w:id="45" w:name="e"/>
    <w:p>
      <w:pPr>
        <w:pStyle w:val="Heading3"/>
      </w:pPr>
      <w:r>
        <w:t xml:space="preserve">e)</w:t>
      </w:r>
    </w:p>
    <w:p>
      <w:pPr>
        <w:pStyle w:val="FirstParagraph"/>
      </w:pPr>
      <w:r>
        <w:t xml:space="preserve">To show that the weight vectors for the first two components are orthogonal, we first need to extract the weight vectors or loadings for the perform analysis:</w:t>
      </w:r>
    </w:p>
    <w:p>
      <w:pPr>
        <w:pStyle w:val="SourceCode"/>
      </w:pPr>
      <w:r>
        <w:rPr>
          <w:rStyle w:val="NormalTok"/>
        </w:rPr>
        <w:t xml:space="preserve">loadings </w:t>
      </w:r>
      <w:r>
        <w:rPr>
          <w:rStyle w:val="OtherTok"/>
        </w:rPr>
        <w:t xml:space="preserve">=</w:t>
      </w:r>
      <w:r>
        <w:rPr>
          <w:rStyle w:val="NormalTok"/>
        </w:rPr>
        <w:t xml:space="preserve"> pca_cov</w:t>
      </w:r>
      <w:r>
        <w:rPr>
          <w:rStyle w:val="SpecialCharTok"/>
        </w:rPr>
        <w:t xml:space="preserve">$</w:t>
      </w:r>
      <w:r>
        <w:rPr>
          <w:rStyle w:val="NormalTok"/>
        </w:rPr>
        <w:t xml:space="preserve">rotation</w:t>
      </w:r>
    </w:p>
    <w:p>
      <w:pPr>
        <w:pStyle w:val="FirstParagraph"/>
      </w:pPr>
      <w:r>
        <w:t xml:space="preserve">Then we check the dot product for the first two loadings vectors</w:t>
      </w:r>
    </w:p>
    <w:p>
      <w:pPr>
        <w:pStyle w:val="SourceCode"/>
      </w:pPr>
      <w:r>
        <w:rPr>
          <w:rStyle w:val="FunctionTok"/>
        </w:rPr>
        <w:t xml:space="preserve">round</w:t>
      </w:r>
      <w:r>
        <w:rPr>
          <w:rStyle w:val="NormalTok"/>
        </w:rPr>
        <w:t xml:space="preserve">(</w:t>
      </w:r>
      <w:r>
        <w:rPr>
          <w:rStyle w:val="FunctionTok"/>
        </w:rPr>
        <w:t xml:space="preserve">sum</w:t>
      </w:r>
      <w:r>
        <w:rPr>
          <w:rStyle w:val="NormalTok"/>
        </w:rPr>
        <w:t xml:space="preserve">(loadings[, </w:t>
      </w:r>
      <w:r>
        <w:rPr>
          <w:rStyle w:val="DecValTok"/>
        </w:rPr>
        <w:t xml:space="preserve">1</w:t>
      </w:r>
      <w:r>
        <w:rPr>
          <w:rStyle w:val="NormalTok"/>
        </w:rPr>
        <w:t xml:space="preserve">] </w:t>
      </w:r>
      <w:r>
        <w:rPr>
          <w:rStyle w:val="SpecialCharTok"/>
        </w:rPr>
        <w:t xml:space="preserve">*</w:t>
      </w:r>
      <w:r>
        <w:rPr>
          <w:rStyle w:val="NormalTok"/>
        </w:rPr>
        <w:t xml:space="preserve"> loadings[, </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[1] 0</w:t>
      </w:r>
    </w:p>
    <w:p>
      <w:pPr>
        <w:pStyle w:val="FirstParagraph"/>
      </w:pPr>
      <w:r>
        <w:t xml:space="preserve">As expected, this value is</w:t>
      </w:r>
      <w:r>
        <w:t xml:space="preserve"> </w:t>
      </w:r>
      <m:oMath>
        <m:r>
          <m:t>0</m:t>
        </m:r>
      </m:oMath>
      <w:r>
        <w:t xml:space="preserve">, showing that the weight or loadings for the first two components are orthogonal.</w:t>
      </w:r>
    </w:p>
    <w:bookmarkEnd w:id="45"/>
    <w:bookmarkEnd w:id="46"/>
    <w:bookmarkEnd w:id="47"/>
    <w:bookmarkStart w:id="49" w:name="question-2"/>
    <w:p>
      <w:pPr>
        <w:pStyle w:val="Heading1"/>
      </w:pPr>
      <w:r>
        <w:t xml:space="preserve">Question 2</w:t>
      </w:r>
    </w:p>
    <w:p>
      <w:pPr>
        <w:pStyle w:val="FirstParagraph"/>
      </w:pPr>
      <w:r>
        <w:t xml:space="preserve">We read the data.</w:t>
      </w:r>
    </w:p>
    <w:p>
      <w:pPr>
        <w:pStyle w:val="SourceCode"/>
      </w:pPr>
      <w:r>
        <w:rPr>
          <w:rStyle w:val="NormalTok"/>
        </w:rPr>
        <w:t xml:space="preserve">wais </w:t>
      </w:r>
      <w:r>
        <w:rPr>
          <w:rStyle w:val="OtherTok"/>
        </w:rPr>
        <w:t xml:space="preserve">=</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1.00</w:t>
      </w:r>
      <w:r>
        <w:rPr>
          <w:rStyle w:val="NormalTok"/>
        </w:rPr>
        <w:t xml:space="preserve">, .</w:t>
      </w:r>
      <w:r>
        <w:rPr>
          <w:rStyle w:val="DecValTok"/>
        </w:rPr>
        <w:t xml:space="preserve">37</w:t>
      </w:r>
      <w:r>
        <w:rPr>
          <w:rStyle w:val="NormalTok"/>
        </w:rPr>
        <w:t xml:space="preserve">, .</w:t>
      </w:r>
      <w:r>
        <w:rPr>
          <w:rStyle w:val="DecValTok"/>
        </w:rPr>
        <w:t xml:space="preserve">34</w:t>
      </w:r>
      <w:r>
        <w:rPr>
          <w:rStyle w:val="NormalTok"/>
        </w:rPr>
        <w:t xml:space="preserve">, .</w:t>
      </w:r>
      <w:r>
        <w:rPr>
          <w:rStyle w:val="DecValTok"/>
        </w:rPr>
        <w:t xml:space="preserve">40</w:t>
      </w:r>
      <w:r>
        <w:rPr>
          <w:rStyle w:val="NormalTok"/>
        </w:rPr>
        <w:t xml:space="preserve">, .</w:t>
      </w:r>
      <w:r>
        <w:rPr>
          <w:rStyle w:val="DecValTok"/>
        </w:rPr>
        <w:t xml:space="preserve">27</w:t>
      </w:r>
      <w:r>
        <w:rPr>
          <w:rStyle w:val="NormalTok"/>
        </w:rPr>
        <w:t xml:space="preserve">, .</w:t>
      </w:r>
      <w:r>
        <w:rPr>
          <w:rStyle w:val="DecValTok"/>
        </w:rPr>
        <w:t xml:space="preserve">59</w:t>
      </w:r>
      <w:r>
        <w:rPr>
          <w:rStyle w:val="NormalTok"/>
        </w:rPr>
        <w:t xml:space="preserve">, .</w:t>
      </w:r>
      <w:r>
        <w:rPr>
          <w:rStyle w:val="DecValTok"/>
        </w:rPr>
        <w:t xml:space="preserve">09</w:t>
      </w:r>
      <w:r>
        <w:rPr>
          <w:rStyle w:val="NormalTok"/>
        </w:rPr>
        <w:t xml:space="preserve">, .</w:t>
      </w:r>
      <w:r>
        <w:rPr>
          <w:rStyle w:val="DecValTok"/>
        </w:rPr>
        <w:t xml:space="preserve">25</w:t>
      </w:r>
      <w:r>
        <w:rPr>
          <w:rStyle w:val="NormalTok"/>
        </w:rPr>
        <w:t xml:space="preserve">, .</w:t>
      </w:r>
      <w:r>
        <w:rPr>
          <w:rStyle w:val="DecValTok"/>
        </w:rPr>
        <w:t xml:space="preserve">27</w:t>
      </w:r>
      <w:r>
        <w:rPr>
          <w:rStyle w:val="NormalTok"/>
        </w:rPr>
        <w:t xml:space="preserve">, .</w:t>
      </w:r>
      <w:r>
        <w:rPr>
          <w:rStyle w:val="DecValTok"/>
        </w:rPr>
        <w:t xml:space="preserve">22</w:t>
      </w:r>
      <w:r>
        <w:rPr>
          <w:rStyle w:val="NormalTok"/>
        </w:rPr>
        <w:t xml:space="preserve">, .</w:t>
      </w:r>
      <w:r>
        <w:rPr>
          <w:rStyle w:val="DecValTok"/>
        </w:rPr>
        <w:t xml:space="preserve">26</w:t>
      </w:r>
      <w:r>
        <w:rPr>
          <w:rStyle w:val="NormalTok"/>
        </w:rPr>
        <w:t xml:space="preserve">,</w:t>
      </w:r>
      <w:r>
        <w:br/>
      </w:r>
      <w:r>
        <w:rPr>
          <w:rStyle w:val="NormalTok"/>
        </w:rPr>
        <w:t xml:space="preserve"> .</w:t>
      </w:r>
      <w:r>
        <w:rPr>
          <w:rStyle w:val="DecValTok"/>
        </w:rPr>
        <w:t xml:space="preserve">37</w:t>
      </w:r>
      <w:r>
        <w:rPr>
          <w:rStyle w:val="NormalTok"/>
        </w:rPr>
        <w:t xml:space="preserve">, </w:t>
      </w:r>
      <w:r>
        <w:rPr>
          <w:rStyle w:val="FloatTok"/>
        </w:rPr>
        <w:t xml:space="preserve">1.00</w:t>
      </w:r>
      <w:r>
        <w:rPr>
          <w:rStyle w:val="NormalTok"/>
        </w:rPr>
        <w:t xml:space="preserve">, .</w:t>
      </w:r>
      <w:r>
        <w:rPr>
          <w:rStyle w:val="DecValTok"/>
        </w:rPr>
        <w:t xml:space="preserve">27</w:t>
      </w:r>
      <w:r>
        <w:rPr>
          <w:rStyle w:val="NormalTok"/>
        </w:rPr>
        <w:t xml:space="preserve">, .</w:t>
      </w:r>
      <w:r>
        <w:rPr>
          <w:rStyle w:val="DecValTok"/>
        </w:rPr>
        <w:t xml:space="preserve">25</w:t>
      </w:r>
      <w:r>
        <w:rPr>
          <w:rStyle w:val="NormalTok"/>
        </w:rPr>
        <w:t xml:space="preserve">, .</w:t>
      </w:r>
      <w:r>
        <w:rPr>
          <w:rStyle w:val="DecValTok"/>
        </w:rPr>
        <w:t xml:space="preserve">38</w:t>
      </w:r>
      <w:r>
        <w:rPr>
          <w:rStyle w:val="NormalTok"/>
        </w:rPr>
        <w:t xml:space="preserve">, .</w:t>
      </w:r>
      <w:r>
        <w:rPr>
          <w:rStyle w:val="DecValTok"/>
        </w:rPr>
        <w:t xml:space="preserve">46</w:t>
      </w:r>
      <w:r>
        <w:rPr>
          <w:rStyle w:val="NormalTok"/>
        </w:rPr>
        <w:t xml:space="preserve">, .</w:t>
      </w:r>
      <w:r>
        <w:rPr>
          <w:rStyle w:val="DecValTok"/>
        </w:rPr>
        <w:t xml:space="preserve">10</w:t>
      </w:r>
      <w:r>
        <w:rPr>
          <w:rStyle w:val="NormalTok"/>
        </w:rPr>
        <w:t xml:space="preserve">, .</w:t>
      </w:r>
      <w:r>
        <w:rPr>
          <w:rStyle w:val="DecValTok"/>
        </w:rPr>
        <w:t xml:space="preserve">26</w:t>
      </w:r>
      <w:r>
        <w:rPr>
          <w:rStyle w:val="NormalTok"/>
        </w:rPr>
        <w:t xml:space="preserve">, .</w:t>
      </w:r>
      <w:r>
        <w:rPr>
          <w:rStyle w:val="DecValTok"/>
        </w:rPr>
        <w:t xml:space="preserve">29</w:t>
      </w:r>
      <w:r>
        <w:rPr>
          <w:rStyle w:val="NormalTok"/>
        </w:rPr>
        <w:t xml:space="preserve">, .</w:t>
      </w:r>
      <w:r>
        <w:rPr>
          <w:rStyle w:val="DecValTok"/>
        </w:rPr>
        <w:t xml:space="preserve">22</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DecValTok"/>
        </w:rPr>
        <w:t xml:space="preserve">34</w:t>
      </w:r>
      <w:r>
        <w:rPr>
          <w:rStyle w:val="NormalTok"/>
        </w:rPr>
        <w:t xml:space="preserve">, .</w:t>
      </w:r>
      <w:r>
        <w:rPr>
          <w:rStyle w:val="DecValTok"/>
        </w:rPr>
        <w:t xml:space="preserve">27</w:t>
      </w:r>
      <w:r>
        <w:rPr>
          <w:rStyle w:val="NormalTok"/>
        </w:rPr>
        <w:t xml:space="preserve">, </w:t>
      </w:r>
      <w:r>
        <w:rPr>
          <w:rStyle w:val="FloatTok"/>
        </w:rPr>
        <w:t xml:space="preserve">1.00</w:t>
      </w:r>
      <w:r>
        <w:rPr>
          <w:rStyle w:val="NormalTok"/>
        </w:rPr>
        <w:t xml:space="preserve">, .</w:t>
      </w:r>
      <w:r>
        <w:rPr>
          <w:rStyle w:val="DecValTok"/>
        </w:rPr>
        <w:t xml:space="preserve">36</w:t>
      </w:r>
      <w:r>
        <w:rPr>
          <w:rStyle w:val="NormalTok"/>
        </w:rPr>
        <w:t xml:space="preserve">, .</w:t>
      </w:r>
      <w:r>
        <w:rPr>
          <w:rStyle w:val="DecValTok"/>
        </w:rPr>
        <w:t xml:space="preserve">28</w:t>
      </w:r>
      <w:r>
        <w:rPr>
          <w:rStyle w:val="NormalTok"/>
        </w:rPr>
        <w:t xml:space="preserve">, .</w:t>
      </w:r>
      <w:r>
        <w:rPr>
          <w:rStyle w:val="DecValTok"/>
        </w:rPr>
        <w:t xml:space="preserve">33</w:t>
      </w:r>
      <w:r>
        <w:rPr>
          <w:rStyle w:val="NormalTok"/>
        </w:rPr>
        <w:t xml:space="preserve">, .</w:t>
      </w:r>
      <w:r>
        <w:rPr>
          <w:rStyle w:val="DecValTok"/>
        </w:rPr>
        <w:t xml:space="preserve">18</w:t>
      </w:r>
      <w:r>
        <w:rPr>
          <w:rStyle w:val="NormalTok"/>
        </w:rPr>
        <w:t xml:space="preserve">, .</w:t>
      </w:r>
      <w:r>
        <w:rPr>
          <w:rStyle w:val="DecValTok"/>
        </w:rPr>
        <w:t xml:space="preserve">32</w:t>
      </w:r>
      <w:r>
        <w:rPr>
          <w:rStyle w:val="NormalTok"/>
        </w:rPr>
        <w:t xml:space="preserve">, .</w:t>
      </w:r>
      <w:r>
        <w:rPr>
          <w:rStyle w:val="DecValTok"/>
        </w:rPr>
        <w:t xml:space="preserve">38</w:t>
      </w:r>
      <w:r>
        <w:rPr>
          <w:rStyle w:val="NormalTok"/>
        </w:rPr>
        <w:t xml:space="preserve">, .</w:t>
      </w:r>
      <w:r>
        <w:rPr>
          <w:rStyle w:val="DecValTok"/>
        </w:rPr>
        <w:t xml:space="preserve">29</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DecValTok"/>
        </w:rPr>
        <w:t xml:space="preserve">40</w:t>
      </w:r>
      <w:r>
        <w:rPr>
          <w:rStyle w:val="NormalTok"/>
        </w:rPr>
        <w:t xml:space="preserve">, .</w:t>
      </w:r>
      <w:r>
        <w:rPr>
          <w:rStyle w:val="DecValTok"/>
        </w:rPr>
        <w:t xml:space="preserve">25</w:t>
      </w:r>
      <w:r>
        <w:rPr>
          <w:rStyle w:val="NormalTok"/>
        </w:rPr>
        <w:t xml:space="preserve">, .</w:t>
      </w:r>
      <w:r>
        <w:rPr>
          <w:rStyle w:val="DecValTok"/>
        </w:rPr>
        <w:t xml:space="preserve">36</w:t>
      </w:r>
      <w:r>
        <w:rPr>
          <w:rStyle w:val="NormalTok"/>
        </w:rPr>
        <w:t xml:space="preserve">, </w:t>
      </w:r>
      <w:r>
        <w:rPr>
          <w:rStyle w:val="FloatTok"/>
        </w:rPr>
        <w:t xml:space="preserve">1.00</w:t>
      </w:r>
      <w:r>
        <w:rPr>
          <w:rStyle w:val="NormalTok"/>
        </w:rPr>
        <w:t xml:space="preserve">, .</w:t>
      </w:r>
      <w:r>
        <w:rPr>
          <w:rStyle w:val="DecValTok"/>
        </w:rPr>
        <w:t xml:space="preserve">22</w:t>
      </w:r>
      <w:r>
        <w:rPr>
          <w:rStyle w:val="NormalTok"/>
        </w:rPr>
        <w:t xml:space="preserve">, .</w:t>
      </w:r>
      <w:r>
        <w:rPr>
          <w:rStyle w:val="DecValTok"/>
        </w:rPr>
        <w:t xml:space="preserve">35</w:t>
      </w:r>
      <w:r>
        <w:rPr>
          <w:rStyle w:val="NormalTok"/>
        </w:rPr>
        <w:t xml:space="preserve">, .</w:t>
      </w:r>
      <w:r>
        <w:rPr>
          <w:rStyle w:val="DecValTok"/>
        </w:rPr>
        <w:t xml:space="preserve">08</w:t>
      </w:r>
      <w:r>
        <w:rPr>
          <w:rStyle w:val="NormalTok"/>
        </w:rPr>
        <w:t xml:space="preserve">, .</w:t>
      </w:r>
      <w:r>
        <w:rPr>
          <w:rStyle w:val="DecValTok"/>
        </w:rPr>
        <w:t xml:space="preserve">31</w:t>
      </w:r>
      <w:r>
        <w:rPr>
          <w:rStyle w:val="NormalTok"/>
        </w:rPr>
        <w:t xml:space="preserve">, .</w:t>
      </w:r>
      <w:r>
        <w:rPr>
          <w:rStyle w:val="DecValTok"/>
        </w:rPr>
        <w:t xml:space="preserve">26</w:t>
      </w:r>
      <w:r>
        <w:rPr>
          <w:rStyle w:val="NormalTok"/>
        </w:rPr>
        <w:t xml:space="preserve">, .</w:t>
      </w:r>
      <w:r>
        <w:rPr>
          <w:rStyle w:val="DecValTok"/>
        </w:rPr>
        <w:t xml:space="preserve">25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ecValTok"/>
        </w:rPr>
        <w:t xml:space="preserve">27</w:t>
      </w:r>
      <w:r>
        <w:rPr>
          <w:rStyle w:val="NormalTok"/>
        </w:rPr>
        <w:t xml:space="preserve">, .</w:t>
      </w:r>
      <w:r>
        <w:rPr>
          <w:rStyle w:val="DecValTok"/>
        </w:rPr>
        <w:t xml:space="preserve">38</w:t>
      </w:r>
      <w:r>
        <w:rPr>
          <w:rStyle w:val="NormalTok"/>
        </w:rPr>
        <w:t xml:space="preserve">, .</w:t>
      </w:r>
      <w:r>
        <w:rPr>
          <w:rStyle w:val="DecValTok"/>
        </w:rPr>
        <w:t xml:space="preserve">28</w:t>
      </w:r>
      <w:r>
        <w:rPr>
          <w:rStyle w:val="NormalTok"/>
        </w:rPr>
        <w:t xml:space="preserve">, .</w:t>
      </w:r>
      <w:r>
        <w:rPr>
          <w:rStyle w:val="DecValTok"/>
        </w:rPr>
        <w:t xml:space="preserve">22</w:t>
      </w:r>
      <w:r>
        <w:rPr>
          <w:rStyle w:val="NormalTok"/>
        </w:rPr>
        <w:t xml:space="preserve">, </w:t>
      </w:r>
      <w:r>
        <w:rPr>
          <w:rStyle w:val="FloatTok"/>
        </w:rPr>
        <w:t xml:space="preserve">1.00</w:t>
      </w:r>
      <w:r>
        <w:rPr>
          <w:rStyle w:val="NormalTok"/>
        </w:rPr>
        <w:t xml:space="preserve">, .</w:t>
      </w:r>
      <w:r>
        <w:rPr>
          <w:rStyle w:val="DecValTok"/>
        </w:rPr>
        <w:t xml:space="preserve">29</w:t>
      </w:r>
      <w:r>
        <w:rPr>
          <w:rStyle w:val="NormalTok"/>
        </w:rPr>
        <w:t xml:space="preserve">, .</w:t>
      </w:r>
      <w:r>
        <w:rPr>
          <w:rStyle w:val="DecValTok"/>
        </w:rPr>
        <w:t xml:space="preserve">16</w:t>
      </w:r>
      <w:r>
        <w:rPr>
          <w:rStyle w:val="NormalTok"/>
        </w:rPr>
        <w:t xml:space="preserve">, .</w:t>
      </w:r>
      <w:r>
        <w:rPr>
          <w:rStyle w:val="DecValTok"/>
        </w:rPr>
        <w:t xml:space="preserve">14</w:t>
      </w:r>
      <w:r>
        <w:rPr>
          <w:rStyle w:val="NormalTok"/>
        </w:rPr>
        <w:t xml:space="preserve">, .</w:t>
      </w:r>
      <w:r>
        <w:rPr>
          <w:rStyle w:val="DecValTok"/>
        </w:rPr>
        <w:t xml:space="preserve">18</w:t>
      </w:r>
      <w:r>
        <w:rPr>
          <w:rStyle w:val="NormalTok"/>
        </w:rPr>
        <w:t xml:space="preserve">, .</w:t>
      </w:r>
      <w:r>
        <w:rPr>
          <w:rStyle w:val="DecValTok"/>
        </w:rPr>
        <w:t xml:space="preserve">15</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DecValTok"/>
        </w:rPr>
        <w:t xml:space="preserve">59</w:t>
      </w:r>
      <w:r>
        <w:rPr>
          <w:rStyle w:val="NormalTok"/>
        </w:rPr>
        <w:t xml:space="preserve">, .</w:t>
      </w:r>
      <w:r>
        <w:rPr>
          <w:rStyle w:val="DecValTok"/>
        </w:rPr>
        <w:t xml:space="preserve">46</w:t>
      </w:r>
      <w:r>
        <w:rPr>
          <w:rStyle w:val="NormalTok"/>
        </w:rPr>
        <w:t xml:space="preserve">, .</w:t>
      </w:r>
      <w:r>
        <w:rPr>
          <w:rStyle w:val="DecValTok"/>
        </w:rPr>
        <w:t xml:space="preserve">33</w:t>
      </w:r>
      <w:r>
        <w:rPr>
          <w:rStyle w:val="NormalTok"/>
        </w:rPr>
        <w:t xml:space="preserve">, .</w:t>
      </w:r>
      <w:r>
        <w:rPr>
          <w:rStyle w:val="DecValTok"/>
        </w:rPr>
        <w:t xml:space="preserve">35</w:t>
      </w:r>
      <w:r>
        <w:rPr>
          <w:rStyle w:val="NormalTok"/>
        </w:rPr>
        <w:t xml:space="preserve">, .</w:t>
      </w:r>
      <w:r>
        <w:rPr>
          <w:rStyle w:val="DecValTok"/>
        </w:rPr>
        <w:t xml:space="preserve">29</w:t>
      </w:r>
      <w:r>
        <w:rPr>
          <w:rStyle w:val="NormalTok"/>
        </w:rPr>
        <w:t xml:space="preserve">, </w:t>
      </w:r>
      <w:r>
        <w:rPr>
          <w:rStyle w:val="FloatTok"/>
        </w:rPr>
        <w:t xml:space="preserve">1.00</w:t>
      </w:r>
      <w:r>
        <w:rPr>
          <w:rStyle w:val="NormalTok"/>
        </w:rPr>
        <w:t xml:space="preserve">, .</w:t>
      </w:r>
      <w:r>
        <w:rPr>
          <w:rStyle w:val="DecValTok"/>
        </w:rPr>
        <w:t xml:space="preserve">08</w:t>
      </w:r>
      <w:r>
        <w:rPr>
          <w:rStyle w:val="NormalTok"/>
        </w:rPr>
        <w:t xml:space="preserve">, .</w:t>
      </w:r>
      <w:r>
        <w:rPr>
          <w:rStyle w:val="DecValTok"/>
        </w:rPr>
        <w:t xml:space="preserve">27</w:t>
      </w:r>
      <w:r>
        <w:rPr>
          <w:rStyle w:val="NormalTok"/>
        </w:rPr>
        <w:t xml:space="preserve">, .</w:t>
      </w:r>
      <w:r>
        <w:rPr>
          <w:rStyle w:val="DecValTok"/>
        </w:rPr>
        <w:t xml:space="preserve">24</w:t>
      </w:r>
      <w:r>
        <w:rPr>
          <w:rStyle w:val="NormalTok"/>
        </w:rPr>
        <w:t xml:space="preserve">, .</w:t>
      </w:r>
      <w:r>
        <w:rPr>
          <w:rStyle w:val="DecValTok"/>
        </w:rPr>
        <w:t xml:space="preserve">28</w:t>
      </w:r>
      <w:r>
        <w:rPr>
          <w:rStyle w:val="NormalTok"/>
        </w:rPr>
        <w:t xml:space="preserve">, .</w:t>
      </w:r>
      <w:r>
        <w:rPr>
          <w:rStyle w:val="DecValTok"/>
        </w:rPr>
        <w:t xml:space="preserve">26</w:t>
      </w:r>
      <w:r>
        <w:rPr>
          <w:rStyle w:val="NormalTok"/>
        </w:rPr>
        <w:t xml:space="preserve">,</w:t>
      </w:r>
      <w:r>
        <w:br/>
      </w:r>
      <w:r>
        <w:rPr>
          <w:rStyle w:val="NormalTok"/>
        </w:rPr>
        <w:t xml:space="preserve"> .</w:t>
      </w:r>
      <w:r>
        <w:rPr>
          <w:rStyle w:val="DecValTok"/>
        </w:rPr>
        <w:t xml:space="preserve">09</w:t>
      </w:r>
      <w:r>
        <w:rPr>
          <w:rStyle w:val="NormalTok"/>
        </w:rPr>
        <w:t xml:space="preserve">, .</w:t>
      </w:r>
      <w:r>
        <w:rPr>
          <w:rStyle w:val="DecValTok"/>
        </w:rPr>
        <w:t xml:space="preserve">10</w:t>
      </w:r>
      <w:r>
        <w:rPr>
          <w:rStyle w:val="NormalTok"/>
        </w:rPr>
        <w:t xml:space="preserve">, .</w:t>
      </w:r>
      <w:r>
        <w:rPr>
          <w:rStyle w:val="DecValTok"/>
        </w:rPr>
        <w:t xml:space="preserve">18</w:t>
      </w:r>
      <w:r>
        <w:rPr>
          <w:rStyle w:val="NormalTok"/>
        </w:rPr>
        <w:t xml:space="preserve">, .</w:t>
      </w:r>
      <w:r>
        <w:rPr>
          <w:rStyle w:val="DecValTok"/>
        </w:rPr>
        <w:t xml:space="preserve">08</w:t>
      </w:r>
      <w:r>
        <w:rPr>
          <w:rStyle w:val="NormalTok"/>
        </w:rPr>
        <w:t xml:space="preserve">, .</w:t>
      </w:r>
      <w:r>
        <w:rPr>
          <w:rStyle w:val="DecValTok"/>
        </w:rPr>
        <w:t xml:space="preserve">16</w:t>
      </w:r>
      <w:r>
        <w:rPr>
          <w:rStyle w:val="NormalTok"/>
        </w:rPr>
        <w:t xml:space="preserve">, .</w:t>
      </w:r>
      <w:r>
        <w:rPr>
          <w:rStyle w:val="DecValTok"/>
        </w:rPr>
        <w:t xml:space="preserve">08</w:t>
      </w:r>
      <w:r>
        <w:rPr>
          <w:rStyle w:val="NormalTok"/>
        </w:rPr>
        <w:t xml:space="preserve">, </w:t>
      </w:r>
      <w:r>
        <w:rPr>
          <w:rStyle w:val="FloatTok"/>
        </w:rPr>
        <w:t xml:space="preserve">1.00</w:t>
      </w:r>
      <w:r>
        <w:rPr>
          <w:rStyle w:val="NormalTok"/>
        </w:rPr>
        <w:t xml:space="preserve">, .</w:t>
      </w:r>
      <w:r>
        <w:rPr>
          <w:rStyle w:val="DecValTok"/>
        </w:rPr>
        <w:t xml:space="preserve">19</w:t>
      </w:r>
      <w:r>
        <w:rPr>
          <w:rStyle w:val="NormalTok"/>
        </w:rPr>
        <w:t xml:space="preserve">, .</w:t>
      </w:r>
      <w:r>
        <w:rPr>
          <w:rStyle w:val="DecValTok"/>
        </w:rPr>
        <w:t xml:space="preserve">13</w:t>
      </w:r>
      <w:r>
        <w:rPr>
          <w:rStyle w:val="NormalTok"/>
        </w:rPr>
        <w:t xml:space="preserve">, .</w:t>
      </w:r>
      <w:r>
        <w:rPr>
          <w:rStyle w:val="DecValTok"/>
        </w:rPr>
        <w:t xml:space="preserve">22</w:t>
      </w:r>
      <w:r>
        <w:rPr>
          <w:rStyle w:val="NormalTok"/>
        </w:rPr>
        <w:t xml:space="preserve">, .</w:t>
      </w:r>
      <w:r>
        <w:rPr>
          <w:rStyle w:val="DecValTok"/>
        </w:rPr>
        <w:t xml:space="preserve">17</w:t>
      </w:r>
      <w:r>
        <w:rPr>
          <w:rStyle w:val="NormalTok"/>
        </w:rPr>
        <w:t xml:space="preserve">,</w:t>
      </w:r>
      <w:r>
        <w:br/>
      </w:r>
      <w:r>
        <w:rPr>
          <w:rStyle w:val="NormalTok"/>
        </w:rPr>
        <w:t xml:space="preserve"> .</w:t>
      </w:r>
      <w:r>
        <w:rPr>
          <w:rStyle w:val="DecValTok"/>
        </w:rPr>
        <w:t xml:space="preserve">25</w:t>
      </w:r>
      <w:r>
        <w:rPr>
          <w:rStyle w:val="NormalTok"/>
        </w:rPr>
        <w:t xml:space="preserve">, .</w:t>
      </w:r>
      <w:r>
        <w:rPr>
          <w:rStyle w:val="DecValTok"/>
        </w:rPr>
        <w:t xml:space="preserve">26</w:t>
      </w:r>
      <w:r>
        <w:rPr>
          <w:rStyle w:val="NormalTok"/>
        </w:rPr>
        <w:t xml:space="preserve">, .</w:t>
      </w:r>
      <w:r>
        <w:rPr>
          <w:rStyle w:val="DecValTok"/>
        </w:rPr>
        <w:t xml:space="preserve">32</w:t>
      </w:r>
      <w:r>
        <w:rPr>
          <w:rStyle w:val="NormalTok"/>
        </w:rPr>
        <w:t xml:space="preserve">, .</w:t>
      </w:r>
      <w:r>
        <w:rPr>
          <w:rStyle w:val="DecValTok"/>
        </w:rPr>
        <w:t xml:space="preserve">31</w:t>
      </w:r>
      <w:r>
        <w:rPr>
          <w:rStyle w:val="NormalTok"/>
        </w:rPr>
        <w:t xml:space="preserve">, .</w:t>
      </w:r>
      <w:r>
        <w:rPr>
          <w:rStyle w:val="DecValTok"/>
        </w:rPr>
        <w:t xml:space="preserve">14</w:t>
      </w:r>
      <w:r>
        <w:rPr>
          <w:rStyle w:val="NormalTok"/>
        </w:rPr>
        <w:t xml:space="preserve">, .</w:t>
      </w:r>
      <w:r>
        <w:rPr>
          <w:rStyle w:val="DecValTok"/>
        </w:rPr>
        <w:t xml:space="preserve">27</w:t>
      </w:r>
      <w:r>
        <w:rPr>
          <w:rStyle w:val="NormalTok"/>
        </w:rPr>
        <w:t xml:space="preserve">, .</w:t>
      </w:r>
      <w:r>
        <w:rPr>
          <w:rStyle w:val="DecValTok"/>
        </w:rPr>
        <w:t xml:space="preserve">19</w:t>
      </w:r>
      <w:r>
        <w:rPr>
          <w:rStyle w:val="NormalTok"/>
        </w:rPr>
        <w:t xml:space="preserve">, </w:t>
      </w:r>
      <w:r>
        <w:rPr>
          <w:rStyle w:val="FloatTok"/>
        </w:rPr>
        <w:t xml:space="preserve">1.00</w:t>
      </w:r>
      <w:r>
        <w:rPr>
          <w:rStyle w:val="NormalTok"/>
        </w:rPr>
        <w:t xml:space="preserve">, .</w:t>
      </w:r>
      <w:r>
        <w:rPr>
          <w:rStyle w:val="DecValTok"/>
        </w:rPr>
        <w:t xml:space="preserve">36</w:t>
      </w:r>
      <w:r>
        <w:rPr>
          <w:rStyle w:val="NormalTok"/>
        </w:rPr>
        <w:t xml:space="preserve">, .</w:t>
      </w:r>
      <w:r>
        <w:rPr>
          <w:rStyle w:val="DecValTok"/>
        </w:rPr>
        <w:t xml:space="preserve">36</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DecValTok"/>
        </w:rPr>
        <w:t xml:space="preserve">27</w:t>
      </w:r>
      <w:r>
        <w:rPr>
          <w:rStyle w:val="NormalTok"/>
        </w:rPr>
        <w:t xml:space="preserve">, .</w:t>
      </w:r>
      <w:r>
        <w:rPr>
          <w:rStyle w:val="DecValTok"/>
        </w:rPr>
        <w:t xml:space="preserve">29</w:t>
      </w:r>
      <w:r>
        <w:rPr>
          <w:rStyle w:val="NormalTok"/>
        </w:rPr>
        <w:t xml:space="preserve">, .</w:t>
      </w:r>
      <w:r>
        <w:rPr>
          <w:rStyle w:val="DecValTok"/>
        </w:rPr>
        <w:t xml:space="preserve">38</w:t>
      </w:r>
      <w:r>
        <w:rPr>
          <w:rStyle w:val="NormalTok"/>
        </w:rPr>
        <w:t xml:space="preserve">, .</w:t>
      </w:r>
      <w:r>
        <w:rPr>
          <w:rStyle w:val="DecValTok"/>
        </w:rPr>
        <w:t xml:space="preserve">26</w:t>
      </w:r>
      <w:r>
        <w:rPr>
          <w:rStyle w:val="NormalTok"/>
        </w:rPr>
        <w:t xml:space="preserve">, .</w:t>
      </w:r>
      <w:r>
        <w:rPr>
          <w:rStyle w:val="DecValTok"/>
        </w:rPr>
        <w:t xml:space="preserve">18</w:t>
      </w:r>
      <w:r>
        <w:rPr>
          <w:rStyle w:val="NormalTok"/>
        </w:rPr>
        <w:t xml:space="preserve">, .</w:t>
      </w:r>
      <w:r>
        <w:rPr>
          <w:rStyle w:val="DecValTok"/>
        </w:rPr>
        <w:t xml:space="preserve">24</w:t>
      </w:r>
      <w:r>
        <w:rPr>
          <w:rStyle w:val="NormalTok"/>
        </w:rPr>
        <w:t xml:space="preserve">, .</w:t>
      </w:r>
      <w:r>
        <w:rPr>
          <w:rStyle w:val="DecValTok"/>
        </w:rPr>
        <w:t xml:space="preserve">13</w:t>
      </w:r>
      <w:r>
        <w:rPr>
          <w:rStyle w:val="NormalTok"/>
        </w:rPr>
        <w:t xml:space="preserve">, .</w:t>
      </w:r>
      <w:r>
        <w:rPr>
          <w:rStyle w:val="DecValTok"/>
        </w:rPr>
        <w:t xml:space="preserve">36</w:t>
      </w:r>
      <w:r>
        <w:rPr>
          <w:rStyle w:val="NormalTok"/>
        </w:rPr>
        <w:t xml:space="preserve">, </w:t>
      </w:r>
      <w:r>
        <w:rPr>
          <w:rStyle w:val="FloatTok"/>
        </w:rPr>
        <w:t xml:space="preserve">1.00</w:t>
      </w:r>
      <w:r>
        <w:rPr>
          <w:rStyle w:val="NormalTok"/>
        </w:rPr>
        <w:t xml:space="preserve">, .</w:t>
      </w:r>
      <w:r>
        <w:rPr>
          <w:rStyle w:val="DecValTok"/>
        </w:rPr>
        <w:t xml:space="preserve">30</w:t>
      </w:r>
      <w:r>
        <w:rPr>
          <w:rStyle w:val="NormalTok"/>
        </w:rPr>
        <w:t xml:space="preserve">, .</w:t>
      </w:r>
      <w:r>
        <w:rPr>
          <w:rStyle w:val="DecValTok"/>
        </w:rPr>
        <w:t xml:space="preserve">60</w:t>
      </w:r>
      <w:r>
        <w:rPr>
          <w:rStyle w:val="NormalTok"/>
        </w:rPr>
        <w:t xml:space="preserve">, </w:t>
      </w:r>
      <w:r>
        <w:br/>
      </w:r>
      <w:r>
        <w:rPr>
          <w:rStyle w:val="NormalTok"/>
        </w:rPr>
        <w:t xml:space="preserve"> .</w:t>
      </w:r>
      <w:r>
        <w:rPr>
          <w:rStyle w:val="DecValTok"/>
        </w:rPr>
        <w:t xml:space="preserve">22</w:t>
      </w:r>
      <w:r>
        <w:rPr>
          <w:rStyle w:val="NormalTok"/>
        </w:rPr>
        <w:t xml:space="preserve">, .</w:t>
      </w:r>
      <w:r>
        <w:rPr>
          <w:rStyle w:val="DecValTok"/>
        </w:rPr>
        <w:t xml:space="preserve">22</w:t>
      </w:r>
      <w:r>
        <w:rPr>
          <w:rStyle w:val="NormalTok"/>
        </w:rPr>
        <w:t xml:space="preserve">, .</w:t>
      </w:r>
      <w:r>
        <w:rPr>
          <w:rStyle w:val="DecValTok"/>
        </w:rPr>
        <w:t xml:space="preserve">29</w:t>
      </w:r>
      <w:r>
        <w:rPr>
          <w:rStyle w:val="NormalTok"/>
        </w:rPr>
        <w:t xml:space="preserve">, .</w:t>
      </w:r>
      <w:r>
        <w:rPr>
          <w:rStyle w:val="DecValTok"/>
        </w:rPr>
        <w:t xml:space="preserve">25</w:t>
      </w:r>
      <w:r>
        <w:rPr>
          <w:rStyle w:val="NormalTok"/>
        </w:rPr>
        <w:t xml:space="preserve">, .</w:t>
      </w:r>
      <w:r>
        <w:rPr>
          <w:rStyle w:val="DecValTok"/>
        </w:rPr>
        <w:t xml:space="preserve">15</w:t>
      </w:r>
      <w:r>
        <w:rPr>
          <w:rStyle w:val="NormalTok"/>
        </w:rPr>
        <w:t xml:space="preserve">, .</w:t>
      </w:r>
      <w:r>
        <w:rPr>
          <w:rStyle w:val="DecValTok"/>
        </w:rPr>
        <w:t xml:space="preserve">28</w:t>
      </w:r>
      <w:r>
        <w:rPr>
          <w:rStyle w:val="NormalTok"/>
        </w:rPr>
        <w:t xml:space="preserve">, .</w:t>
      </w:r>
      <w:r>
        <w:rPr>
          <w:rStyle w:val="DecValTok"/>
        </w:rPr>
        <w:t xml:space="preserve">22</w:t>
      </w:r>
      <w:r>
        <w:rPr>
          <w:rStyle w:val="NormalTok"/>
        </w:rPr>
        <w:t xml:space="preserve">, .</w:t>
      </w:r>
      <w:r>
        <w:rPr>
          <w:rStyle w:val="DecValTok"/>
        </w:rPr>
        <w:t xml:space="preserve">36</w:t>
      </w:r>
      <w:r>
        <w:rPr>
          <w:rStyle w:val="NormalTok"/>
        </w:rPr>
        <w:t xml:space="preserve">, .</w:t>
      </w:r>
      <w:r>
        <w:rPr>
          <w:rStyle w:val="DecValTok"/>
        </w:rPr>
        <w:t xml:space="preserve">30</w:t>
      </w:r>
      <w:r>
        <w:rPr>
          <w:rStyle w:val="NormalTok"/>
        </w:rPr>
        <w:t xml:space="preserve">, </w:t>
      </w:r>
      <w:r>
        <w:rPr>
          <w:rStyle w:val="FloatTok"/>
        </w:rPr>
        <w:t xml:space="preserve">1.00</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DecValTok"/>
        </w:rPr>
        <w:t xml:space="preserve">26</w:t>
      </w:r>
      <w:r>
        <w:rPr>
          <w:rStyle w:val="NormalTok"/>
        </w:rPr>
        <w:t xml:space="preserve">, .</w:t>
      </w:r>
      <w:r>
        <w:rPr>
          <w:rStyle w:val="DecValTok"/>
        </w:rPr>
        <w:t xml:space="preserve">24</w:t>
      </w:r>
      <w:r>
        <w:rPr>
          <w:rStyle w:val="NormalTok"/>
        </w:rPr>
        <w:t xml:space="preserve">, .</w:t>
      </w:r>
      <w:r>
        <w:rPr>
          <w:rStyle w:val="DecValTok"/>
        </w:rPr>
        <w:t xml:space="preserve">30</w:t>
      </w:r>
      <w:r>
        <w:rPr>
          <w:rStyle w:val="NormalTok"/>
        </w:rPr>
        <w:t xml:space="preserve">, .</w:t>
      </w:r>
      <w:r>
        <w:rPr>
          <w:rStyle w:val="DecValTok"/>
        </w:rPr>
        <w:t xml:space="preserve">20</w:t>
      </w:r>
      <w:r>
        <w:rPr>
          <w:rStyle w:val="NormalTok"/>
        </w:rPr>
        <w:t xml:space="preserve">, .</w:t>
      </w:r>
      <w:r>
        <w:rPr>
          <w:rStyle w:val="DecValTok"/>
        </w:rPr>
        <w:t xml:space="preserve">22</w:t>
      </w:r>
      <w:r>
        <w:rPr>
          <w:rStyle w:val="NormalTok"/>
        </w:rPr>
        <w:t xml:space="preserve">, .</w:t>
      </w:r>
      <w:r>
        <w:rPr>
          <w:rStyle w:val="DecValTok"/>
        </w:rPr>
        <w:t xml:space="preserve">26</w:t>
      </w:r>
      <w:r>
        <w:rPr>
          <w:rStyle w:val="NormalTok"/>
        </w:rPr>
        <w:t xml:space="preserve">, .</w:t>
      </w:r>
      <w:r>
        <w:rPr>
          <w:rStyle w:val="DecValTok"/>
        </w:rPr>
        <w:t xml:space="preserve">17</w:t>
      </w:r>
      <w:r>
        <w:rPr>
          <w:rStyle w:val="NormalTok"/>
        </w:rPr>
        <w:t xml:space="preserve">, .</w:t>
      </w:r>
      <w:r>
        <w:rPr>
          <w:rStyle w:val="DecValTok"/>
        </w:rPr>
        <w:t xml:space="preserve">40</w:t>
      </w:r>
      <w:r>
        <w:rPr>
          <w:rStyle w:val="NormalTok"/>
        </w:rPr>
        <w:t xml:space="preserve">, .</w:t>
      </w:r>
      <w:r>
        <w:rPr>
          <w:rStyle w:val="DecValTok"/>
        </w:rPr>
        <w:t xml:space="preserve">60</w:t>
      </w:r>
      <w:r>
        <w:rPr>
          <w:rStyle w:val="NormalTok"/>
        </w:rPr>
        <w:t xml:space="preserve">, .</w:t>
      </w:r>
      <w:r>
        <w:rPr>
          <w:rStyle w:val="DecValTok"/>
        </w:rPr>
        <w:t xml:space="preserve">25</w:t>
      </w:r>
      <w:r>
        <w:rPr>
          <w:rStyle w:val="NormalTok"/>
        </w:rPr>
        <w:t xml:space="preserve">, </w:t>
      </w:r>
      <w:r>
        <w:rPr>
          <w:rStyle w:val="FloatTok"/>
        </w:rPr>
        <w:t xml:space="preserve">1.00</w:t>
      </w:r>
      <w:r>
        <w:rPr>
          <w:rStyle w:val="NormalTok"/>
        </w:rPr>
        <w:t xml:space="preserve">), </w:t>
      </w:r>
      <w:r>
        <w:br/>
      </w:r>
      <w:r>
        <w:rPr>
          <w:rStyle w:val="AttributeTok"/>
        </w:rPr>
        <w:t xml:space="preserve">ncol=</w:t>
      </w:r>
      <w:r>
        <w:rPr>
          <w:rStyle w:val="DecValTok"/>
        </w:rPr>
        <w:t xml:space="preserve">11</w:t>
      </w:r>
      <w:r>
        <w:rPr>
          <w:rStyle w:val="NormalTok"/>
        </w:rPr>
        <w:t xml:space="preserve">, </w:t>
      </w:r>
      <w:r>
        <w:rPr>
          <w:rStyle w:val="AttributeTok"/>
        </w:rPr>
        <w:t xml:space="preserve">byrow=</w:t>
      </w:r>
      <w:r>
        <w:rPr>
          <w:rStyle w:val="NormalTok"/>
        </w:rPr>
        <w:t xml:space="preserve">T)</w:t>
      </w:r>
      <w:r>
        <w:br/>
      </w:r>
      <w:r>
        <w:br/>
      </w:r>
      <w:r>
        <w:rPr>
          <w:rStyle w:val="FunctionTok"/>
        </w:rPr>
        <w:t xml:space="preserve">rownames</w:t>
      </w:r>
      <w:r>
        <w:rPr>
          <w:rStyle w:val="NormalTok"/>
        </w:rPr>
        <w:t xml:space="preserve">(wais) </w:t>
      </w:r>
      <w:r>
        <w:rPr>
          <w:rStyle w:val="OtherTok"/>
        </w:rPr>
        <w:t xml:space="preserve">=</w:t>
      </w:r>
      <w:r>
        <w:rPr>
          <w:rStyle w:val="NormalTok"/>
        </w:rPr>
        <w:t xml:space="preserve"> </w:t>
      </w:r>
      <w:r>
        <w:rPr>
          <w:rStyle w:val="FunctionTok"/>
        </w:rPr>
        <w:t xml:space="preserve">colnames</w:t>
      </w:r>
      <w:r>
        <w:rPr>
          <w:rStyle w:val="NormalTok"/>
        </w:rPr>
        <w:t xml:space="preserve">(wais)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"Information"</w:t>
      </w:r>
      <w:r>
        <w:rPr>
          <w:rStyle w:val="NormalTok"/>
        </w:rPr>
        <w:t xml:space="preserve">, </w:t>
      </w:r>
      <w:r>
        <w:rPr>
          <w:rStyle w:val="StringTok"/>
        </w:rPr>
        <w:t xml:space="preserve">"Comprehension"</w:t>
      </w:r>
      <w:r>
        <w:rPr>
          <w:rStyle w:val="NormalTok"/>
        </w:rPr>
        <w:t xml:space="preserve">, </w:t>
      </w:r>
      <w:r>
        <w:br/>
      </w:r>
      <w:r>
        <w:rPr>
          <w:rStyle w:val="StringTok"/>
        </w:rPr>
        <w:t xml:space="preserve">"Arithmetic"</w:t>
      </w:r>
      <w:r>
        <w:rPr>
          <w:rStyle w:val="NormalTok"/>
        </w:rPr>
        <w:t xml:space="preserve">, </w:t>
      </w:r>
      <w:r>
        <w:rPr>
          <w:rStyle w:val="StringTok"/>
        </w:rPr>
        <w:t xml:space="preserve">"Similarities"</w:t>
      </w:r>
      <w:r>
        <w:rPr>
          <w:rStyle w:val="NormalTok"/>
        </w:rPr>
        <w:t xml:space="preserve">, </w:t>
      </w:r>
      <w:r>
        <w:rPr>
          <w:rStyle w:val="StringTok"/>
        </w:rPr>
        <w:t xml:space="preserve">"Digit Span"</w:t>
      </w:r>
      <w:r>
        <w:rPr>
          <w:rStyle w:val="NormalTok"/>
        </w:rPr>
        <w:t xml:space="preserve">, </w:t>
      </w:r>
      <w:r>
        <w:rPr>
          <w:rStyle w:val="StringTok"/>
        </w:rPr>
        <w:t xml:space="preserve">"Vocabulary"</w:t>
      </w:r>
      <w:r>
        <w:rPr>
          <w:rStyle w:val="NormalTok"/>
        </w:rPr>
        <w:t xml:space="preserve">, </w:t>
      </w:r>
      <w:r>
        <w:rPr>
          <w:rStyle w:val="StringTok"/>
        </w:rPr>
        <w:t xml:space="preserve">"Digit Symbol"</w:t>
      </w:r>
      <w:r>
        <w:rPr>
          <w:rStyle w:val="NormalTok"/>
        </w:rPr>
        <w:t xml:space="preserve">, </w:t>
      </w:r>
      <w:r>
        <w:br/>
      </w:r>
      <w:r>
        <w:rPr>
          <w:rStyle w:val="StringTok"/>
        </w:rPr>
        <w:t xml:space="preserve">"Picture Completion"</w:t>
      </w:r>
      <w:r>
        <w:rPr>
          <w:rStyle w:val="NormalTok"/>
        </w:rPr>
        <w:t xml:space="preserve">, </w:t>
      </w:r>
      <w:r>
        <w:rPr>
          <w:rStyle w:val="StringTok"/>
        </w:rPr>
        <w:t xml:space="preserve">"Block Design"</w:t>
      </w:r>
      <w:r>
        <w:rPr>
          <w:rStyle w:val="NormalTok"/>
        </w:rPr>
        <w:t xml:space="preserve">, </w:t>
      </w:r>
      <w:r>
        <w:rPr>
          <w:rStyle w:val="StringTok"/>
        </w:rPr>
        <w:t xml:space="preserve">"Picture Arrangement"</w:t>
      </w:r>
      <w:r>
        <w:rPr>
          <w:rStyle w:val="NormalTok"/>
        </w:rPr>
        <w:t xml:space="preserve">, </w:t>
      </w:r>
      <w:r>
        <w:rPr>
          <w:rStyle w:val="StringTok"/>
        </w:rPr>
        <w:t xml:space="preserve">"Object </w:t>
      </w:r>
      <w:r>
        <w:br/>
      </w:r>
      <w:r>
        <w:rPr>
          <w:rStyle w:val="StringTok"/>
        </w:rPr>
        <w:t xml:space="preserve">Assembly"</w:t>
      </w:r>
      <w:r>
        <w:rPr>
          <w:rStyle w:val="NormalTok"/>
        </w:rPr>
        <w:t xml:space="preserve">) </w:t>
      </w:r>
    </w:p>
    <w:bookmarkStart w:id="48" w:name="a-1"/>
    <w:p>
      <w:pPr>
        <w:pStyle w:val="Heading3"/>
      </w:pPr>
      <w:r>
        <w:t xml:space="preserve">a)</w:t>
      </w:r>
    </w:p>
    <w:p>
      <w:pPr>
        <w:pStyle w:val="FirstParagraph"/>
      </w:pPr>
      <w:r>
        <w:t xml:space="preserve">We perform a pca with the correlation matrix</w:t>
      </w:r>
    </w:p>
    <w:p>
      <w:pPr>
        <w:pStyle w:val="SourceCode"/>
      </w:pPr>
      <w:r>
        <w:rPr>
          <w:rStyle w:val="CommentTok"/>
        </w:rPr>
        <w:t xml:space="preserve">#wais_pc = prcomp(covmat = wais)</w:t>
      </w:r>
    </w:p>
    <w:p>
      <w:pPr>
        <w:pStyle w:val="SourceCode"/>
      </w:pPr>
      <w:r>
        <w:rPr>
          <w:rStyle w:val="CommentTok"/>
        </w:rPr>
        <w:t xml:space="preserve"># wais_pc |&gt; </w:t>
      </w:r>
      <w:r>
        <w:br/>
      </w:r>
      <w:r>
        <w:rPr>
          <w:rStyle w:val="CommentTok"/>
        </w:rPr>
        <w:t xml:space="preserve">#   tidy(matrix = "eigenvalues") |&gt; </w:t>
      </w:r>
      <w:r>
        <w:br/>
      </w:r>
      <w:r>
        <w:rPr>
          <w:rStyle w:val="CommentTok"/>
        </w:rPr>
        <w:t xml:space="preserve">#   mutate(lambda = std.dev * std.dev) |&gt; </w:t>
      </w:r>
      <w:r>
        <w:br/>
      </w:r>
      <w:r>
        <w:rPr>
          <w:rStyle w:val="CommentTok"/>
        </w:rPr>
        <w:t xml:space="preserve">#   ggplot(aes(PC, lambda)) +</w:t>
      </w:r>
      <w:r>
        <w:br/>
      </w:r>
      <w:r>
        <w:rPr>
          <w:rStyle w:val="CommentTok"/>
        </w:rPr>
        <w:t xml:space="preserve">#   geom_col(fill = "#56B4E9", alpha = 0.8) +</w:t>
      </w:r>
      <w:r>
        <w:br/>
      </w:r>
      <w:r>
        <w:rPr>
          <w:rStyle w:val="CommentTok"/>
        </w:rPr>
        <w:t xml:space="preserve">#   geom_abline(slope =  0, intercept = 1, linetype = "dashed", color = "red") +</w:t>
      </w:r>
      <w:r>
        <w:br/>
      </w:r>
      <w:r>
        <w:rPr>
          <w:rStyle w:val="CommentTok"/>
        </w:rPr>
        <w:t xml:space="preserve">#   xlab("PCA") +</w:t>
      </w:r>
      <w:r>
        <w:br/>
      </w:r>
      <w:r>
        <w:rPr>
          <w:rStyle w:val="CommentTok"/>
        </w:rPr>
        <w:t xml:space="preserve">#   scale_x_continuous(breaks = 1:13) +</w:t>
      </w:r>
      <w:r>
        <w:br/>
      </w:r>
      <w:r>
        <w:rPr>
          <w:rStyle w:val="CommentTok"/>
        </w:rPr>
        <w:t xml:space="preserve">#   scale_y_continuous(</w:t>
      </w:r>
      <w:r>
        <w:br/>
      </w:r>
      <w:r>
        <w:rPr>
          <w:rStyle w:val="CommentTok"/>
        </w:rPr>
        <w:t xml:space="preserve">#        expand = expansion(mult = c(0, 0.01))</w:t>
      </w:r>
      <w:r>
        <w:br/>
      </w:r>
      <w:r>
        <w:rPr>
          <w:rStyle w:val="CommentTok"/>
        </w:rPr>
        <w:t xml:space="preserve">#     ) +</w:t>
      </w:r>
      <w:r>
        <w:br/>
      </w:r>
      <w:r>
        <w:rPr>
          <w:rStyle w:val="CommentTok"/>
        </w:rPr>
        <w:t xml:space="preserve">#   theme_minimal_hgrid(12)</w:t>
      </w:r>
    </w:p>
    <w:bookmarkEnd w:id="48"/>
    <w:bookmarkEnd w:id="49"/>
    <w:bookmarkStart w:id="50" w:name="question-3"/>
    <w:p>
      <w:pPr>
        <w:pStyle w:val="Heading1"/>
      </w:pPr>
      <w:r>
        <w:t xml:space="preserve">Question 3</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Exam-01</dc:title>
  <dc:creator>Pablo Vivas</dc:creator>
  <cp:keywords/>
  <dcterms:created xsi:type="dcterms:W3CDTF">2023-11-07T21:36:41Z</dcterms:created>
  <dcterms:modified xsi:type="dcterms:W3CDTF">2023-11-07T21:36:41Z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2023-11-07</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heme">
    <vt:lpwstr>simplex</vt:lpwstr>
  </property>
  <property fmtid="{D5CDD505-2E9C-101B-9397-08002B2CF9AE}" pid="12" name="toc-title">
    <vt:lpwstr>Table of contents</vt:lpwstr>
  </property>
</Properties>
</file>