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MedFind Product Requirements Document</w:t>
      </w:r>
    </w:p>
    <w:p>
      <w:pPr>
        <w:spacing w:after="240"/>
      </w:pPr>
      <w:r>
        <w:rPr>
          <w:rFonts w:ascii="Arial" w:hAnsi="Arial"/>
          <w:i/>
          <w:color w:val="5E6873"/>
          <w:sz w:val="24"/>
        </w:rPr>
        <w:t>A scoped, evidence minded mini project for medicine discovery and care access</w:t>
      </w:r>
    </w:p>
    <w:p>
      <w:pPr>
        <w:spacing w:after="280"/>
      </w:pPr>
      <w:r>
        <w:rPr>
          <w:rFonts w:ascii="Arial" w:hAnsi="Arial"/>
          <w:color w:val="1F2933"/>
          <w:sz w:val="21"/>
        </w:rPr>
        <w:t>MedFind helps people identify a participating pharmacy with a recently verified medicine record, review nearby care listings, and access emergency contact actions. The product is designed for information discovery; it does not diagnose, dispatch, or claim live capacity without integrations.</w:t>
      </w:r>
    </w:p>
    <w:tbl>
      <w:tblPr>
        <w:tblW w:type="auto" w:w="0"/>
        <w:jc w:val="left"/>
        <w:tblLook w:firstColumn="1" w:firstRow="1" w:lastColumn="0" w:lastRow="0" w:noHBand="0" w:noVBand="1" w:val="04A0"/>
      </w:tblPr>
      <w:tblGrid>
        <w:gridCol w:w="4997"/>
        <w:gridCol w:w="4997"/>
      </w:tblGrid>
      <w:tr>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Project</w:t>
              <w:br/>
            </w:r>
            <w:r>
              <w:rPr>
                <w:rFonts w:ascii="Arial" w:hAnsi="Arial"/>
                <w:color w:val="1F2933"/>
                <w:sz w:val="19"/>
              </w:rPr>
              <w:t>MedFind</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Academic context</w:t>
              <w:br/>
            </w:r>
            <w:r>
              <w:rPr>
                <w:rFonts w:ascii="Arial" w:hAnsi="Arial"/>
                <w:color w:val="1F2933"/>
                <w:sz w:val="19"/>
              </w:rPr>
              <w:t>BMSCE CSE Semester 5 Mini Project</w:t>
            </w:r>
          </w:p>
        </w:tc>
      </w:tr>
      <w:tr>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Document status</w:t>
              <w:br/>
            </w:r>
            <w:r>
              <w:rPr>
                <w:rFonts w:ascii="Arial" w:hAnsi="Arial"/>
                <w:color w:val="1F2933"/>
                <w:sz w:val="19"/>
              </w:rPr>
              <w:t>Planning baseline for faculty review and implementation</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rial" w:hAnsi="Arial"/>
                <w:b/>
                <w:color w:val="5E6873"/>
                <w:sz w:val="16"/>
              </w:rPr>
              <w:t>Prepared</w:t>
              <w:br/>
            </w:r>
            <w:r>
              <w:rPr>
                <w:rFonts w:ascii="Arial" w:hAnsi="Arial"/>
                <w:color w:val="1F2933"/>
                <w:sz w:val="19"/>
              </w:rPr>
              <w:t>22 October 2026</w:t>
            </w:r>
          </w:p>
        </w:tc>
      </w:tr>
    </w:tbl>
    <w:p/>
    <w:p>
      <w:pPr>
        <w:pStyle w:val="Heading1"/>
        <w:keepNext/>
      </w:pPr>
      <w:r>
        <w:t>1. Problem statement</w:t>
      </w:r>
    </w:p>
    <w:p>
      <w:pPr>
        <w:spacing w:after="120"/>
        <w:keepLines/>
      </w:pPr>
      <w:r>
        <w:rPr>
          <w:rFonts w:ascii="Arial" w:hAnsi="Arial"/>
          <w:b/>
          <w:color w:val="1F2933"/>
        </w:rPr>
        <w:t xml:space="preserve">Problem. </w:t>
      </w:r>
      <w:r>
        <w:rPr>
          <w:rFonts w:ascii="Arial" w:hAnsi="Arial"/>
          <w:color w:val="1F2933"/>
        </w:rPr>
        <w:t>When a prescribed medicine is unavailable at one pharmacy, a patient or caregiver may spend time visiting or calling multiple stores while already under stress. In urgent situations, the same person may also struggle to find a relevant hospital or ambulance contact quickly. Existing search and directory experiences often make unclear claims about stock recency and provider availability.</w:t>
      </w:r>
    </w:p>
    <w:p>
      <w:pPr>
        <w:spacing w:after="120"/>
        <w:keepLines/>
      </w:pPr>
      <w:r>
        <w:rPr>
          <w:rFonts w:ascii="Arial" w:hAnsi="Arial"/>
          <w:color w:val="1F2933"/>
        </w:rPr>
        <w:t>MedFind provides a transparent, scoped discovery layer. It combines medicine lookup across participating pharmacies with visible stock freshness, nearby hospital and service listings, and emergency contact actions. Its value comes from showing the limits of its data as clearly as the data itself.</w:t>
      </w:r>
    </w:p>
    <w:p>
      <w:pPr>
        <w:pStyle w:val="Heading1"/>
        <w:keepNext/>
      </w:pPr>
      <w:r>
        <w:t>2. Product goal and non goals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68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Goals</w:t>
            </w:r>
          </w:p>
        </w:tc>
        <w:tc>
          <w:tcPr>
            <w:tcW w:type="dxa" w:w="468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Non goals for the mini project</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Reduce the effort to identify a nearby participating pharmacy with a relevant medicine record.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Guarantee real-time stock, reserve or deliver medicines, or replace a pharmacy confirmation.</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Make stock freshness explicit and test whether users interpret it correctly.</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Diagnose conditions, recommend treatment, or advise medicine substitutions.</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Provide a quick path to reviewed care listings and emergency contact actions.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Claim live hospital-bed availability, emergency response time, or ambulance dispatch.</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Create a measurable prototype suitable for a small pilot and academic evaluation.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Build city-wide coverage or integrate every pharmacy and hospital before the report deadline.</w:t>
            </w:r>
          </w:p>
        </w:tc>
      </w:tr>
    </w:tbl>
    <w:p>
      <w:pPr>
        <w:spacing w:after="20"/>
      </w:pPr>
    </w:p>
    <w:p>
      <w:pPr>
        <w:pStyle w:val="Heading1"/>
        <w:keepNext/>
      </w:pPr>
      <w:r>
        <w:t>3. Target users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Persona</w:t>
            </w:r>
          </w:p>
        </w:tc>
        <w:tc>
          <w:tcPr>
            <w:tcW w:type="dxa" w:w="324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Need</w:t>
            </w:r>
          </w:p>
        </w:tc>
        <w:tc>
          <w:tcPr>
            <w:tcW w:type="dxa" w:w="432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Primary task</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Caregiver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Find a prescribed medicine before travelling to another pharmacy.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Search medicine, compare freshness and distance, call or navigate to a participating pharmacy.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Patient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See nearby care options during a health concern.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Open provider listing, review service tags and contact the selected provider.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Pharmacy staff</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Keep a small availability directory current.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Publish a simple stock state and correct mistakes through an audited update.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Admin or evaluator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Check scope and data reliability.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Verify provider and pharmacy records, review change history, evaluate scenario outcomes.</w:t>
            </w:r>
          </w:p>
        </w:tc>
      </w:tr>
    </w:tbl>
    <w:p>
      <w:pPr>
        <w:spacing w:after="20"/>
      </w:pPr>
    </w:p>
    <w:p>
      <w:pPr>
        <w:pStyle w:val="Heading1"/>
        <w:keepNext/>
      </w:pPr>
      <w:r>
        <w:t>4. MVP scope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MVP capability</w:t>
            </w:r>
          </w:p>
        </w:tc>
        <w:tc>
          <w:tcPr>
            <w:tcW w:type="dxa" w:w="352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User outcome</w:t>
            </w:r>
          </w:p>
        </w:tc>
        <w:tc>
          <w:tcPr>
            <w:tcW w:type="dxa" w:w="3600"/>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Acceptance criterion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Exact medicine search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Find matching medicine records using name, strength, and dosage form when available.</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Search returns matching seeded records and handles no-result states plainly.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Participating pharmacy results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Compare relevant pharmacy records by distance and stock status.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Every result shows pharmacy name, availability state, and last update time.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Freshness states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Understand confidence in a stock record before acting.</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Recent, Aging, Stale, and Unknown states are labelled; a usability test checks interpretation.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Nearby care directory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Find reviewed hospitals, clinics, and ambulance contact listings.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Each listing shows source/review date and a contact action; no live capacity language appears.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Emergency help</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Access a clear urgent-action route.</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Emergency entry is reachable from Home and labels the action as a call or information view.</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Pharmacy update flow</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Participating staff can update inventory visibility.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An authorized staff account updates only assigned pharmacy records and generates an audit event.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Two theme system</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Use light or dark mode without losing clarity.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Approved palettes, AA contrast baseline, labelled states, and 44 point targets are validated.</w:t>
            </w:r>
          </w:p>
        </w:tc>
      </w:tr>
    </w:tbl>
    <w:p>
      <w:pPr>
        <w:spacing w:after="20"/>
      </w:pPr>
    </w:p>
    <w:p>
      <w:pPr>
        <w:pStyle w:val="Heading1"/>
        <w:keepNext/>
      </w:pPr>
      <w:r>
        <w:t>5. Functional requirements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ID</w:t>
            </w:r>
          </w:p>
        </w:tc>
        <w:tc>
          <w:tcPr>
            <w:tcW w:type="dxa" w:w="712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Requirement</w:t>
            </w:r>
          </w:p>
        </w:tc>
        <w:tc>
          <w:tcPr>
            <w:tcW w:type="dxa" w:w="1296"/>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Priority</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FR 01</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The user can search medicine by brand or generic name; strength and dosage form are optional filters.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Must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FR 02</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The system returns only participating pharmacy stock records and shows a clear participation boundary.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Must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FR 03</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Each stock record displays state, exact last-update time, pharmacy contact, and practical next action.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Must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FR 04</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The user can view nearby reviewed providers by category: hospital, clinic, ambulance contact, or pharmacy.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Must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FR 05</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The user can initiate a device call to a displayed phone number after a clearly labelled tap.</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Must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FR 06</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Authorized pharmacy staff can create stock snapshots for their assigned pharmacy.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Must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FR 07</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Admins can review provider records, pharmacy participation, and update audit events.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Should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FR 08</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The app offers light and dark themes built from the approved palettes with accessible text and states.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Must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FR 09</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The user can save favorites or recent searches locally without exposing medical history to other users.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Could</w:t>
            </w:r>
          </w:p>
        </w:tc>
      </w:tr>
    </w:tbl>
    <w:p>
      <w:pPr>
        <w:spacing w:after="20"/>
      </w:pPr>
    </w:p>
    <w:p>
      <w:pPr>
        <w:pStyle w:val="Heading1"/>
        <w:keepNext/>
      </w:pPr>
      <w:r>
        <w:t>6. Non functional and safety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72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Area</w:t>
            </w:r>
          </w:p>
        </w:tc>
        <w:tc>
          <w:tcPr>
            <w:tcW w:type="dxa" w:w="763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Requirement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Performance</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Search results should load within 2.5 seconds on a normal test connection when the demo dataset is available. Empty, offline, and error states must be readable.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Reliability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No stock state can appear without an update timestamp. Missing data maps to Unknown, never “Available”.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Privacy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Collect the minimum data needed for the MVP. Do not collect medical history, diagnosis, or prescription images unless scope and retention policy are separately approved.</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Security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Role-based access and Supabase RLS must prevent a pharmacy account from editing another pharmacy’s stock records.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Clinical safety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The UI must not recommend dosage, substitutions, treatment, or urgency. It directs the user to a pharmacist, clinician, or emergency contact action.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Truthfulness</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Hospital listings and ambulance contacts are directory information. Claims about live stock, capacity, ETA, booking, and dispatch require a verified integration before release.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Accessibility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Meet the design baseline for contrast, touch targets, focus visibility, screen-reader labels, and non-colour status communication.</w:t>
            </w:r>
          </w:p>
        </w:tc>
      </w:tr>
    </w:tbl>
    <w:p>
      <w:pPr>
        <w:spacing w:after="20"/>
      </w:pPr>
    </w:p>
    <w:p>
      <w:pPr>
        <w:pStyle w:val="Heading1"/>
        <w:keepNext/>
      </w:pPr>
      <w:r>
        <w:t>7. Data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Model</w:t>
            </w:r>
          </w:p>
        </w:tc>
        <w:tc>
          <w:tcPr>
            <w:tcW w:type="dxa" w:w="4536"/>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Key fields</w:t>
            </w:r>
          </w:p>
        </w:tc>
        <w:tc>
          <w:tcPr>
            <w:tcW w:type="dxa" w:w="2951"/>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Notes</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Medicine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name, generic name, brand name, strength, dosage form, aliases</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Search data; must preserve exact descriptor rather than silently assuming equivalence.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Pharmacy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name, location, phone, participation status, verification date</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Only participating pharmacies appear in stock search.</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Stock snapshot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medicine, pharmacy, state, update time, updater, note</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Append-only update event supporting freshness and auditability.</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Provider listing</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type, location, phone, service tags, source, reviewed date</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Directory record; no live operational state unless a later integration supplies it.</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User and role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account id, role, pharmacy assignment, consent flags</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Supports access control; retain the minimum needed for the prototype.</w:t>
            </w:r>
          </w:p>
        </w:tc>
      </w:tr>
    </w:tbl>
    <w:p>
      <w:pPr>
        <w:spacing w:after="20"/>
      </w:pPr>
    </w:p>
    <w:p>
      <w:pPr>
        <w:pStyle w:val="Heading1"/>
        <w:keepNext/>
      </w:pPr>
      <w:r>
        <w:t>8. Research contribution and evaluation</w:t>
      </w:r>
    </w:p>
    <w:p>
      <w:pPr>
        <w:spacing w:after="120"/>
        <w:keepLines/>
      </w:pPr>
      <w:r>
        <w:rPr>
          <w:rFonts w:ascii="Arial" w:hAnsi="Arial"/>
          <w:b/>
          <w:color w:val="1F2933"/>
        </w:rPr>
        <w:t xml:space="preserve">Research focus. </w:t>
      </w:r>
      <w:r>
        <w:rPr>
          <w:rFonts w:ascii="Arial" w:hAnsi="Arial"/>
          <w:color w:val="1F2933"/>
        </w:rPr>
        <w:t>The proposed contribution is not a claim that MedFind solves healthcare access broadly. The project can evaluate whether visible freshness and scoped-provider labels help people choose a next action more accurately than a simple untimestamped pharmacy directory.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11"/>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Question</w:t>
            </w:r>
          </w:p>
        </w:tc>
        <w:tc>
          <w:tcPr>
            <w:tcW w:type="dxa" w:w="3744"/>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Method</w:t>
            </w:r>
          </w:p>
        </w:tc>
        <w:tc>
          <w:tcPr>
            <w:tcW w:type="dxa" w:w="2304"/>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Measure</w:t>
            </w:r>
          </w:p>
        </w:tc>
      </w:tr>
      <w:tr>
        <w:trPr>
          <w:cantSplit/>
        </w:trP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Does freshness visibility improve correct interpretation of a stock result?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Scenario-based comparison of timestamped versus untimestamped result cards.</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Percentage correctly identifying when to call first; confidence calibration score.</w:t>
            </w:r>
          </w:p>
        </w:tc>
      </w:tr>
      <w:tr>
        <w:trPr>
          <w:cantSplit/>
        </w:trP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Does the unified emergency-aware flow reduce task effort?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Timed tasks with a prototype and a baseline directory view.</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Task completion rate, time to actionable contact, error count.</w:t>
            </w:r>
          </w:p>
        </w:tc>
      </w:tr>
      <w:tr>
        <w:trPr>
          <w:cantSplit/>
        </w:trP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Is the workflow usable for intended users?</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Small moderated usability study after ethics/faculty guidance.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System Usability Scale, task observations, qualitative themes.</w:t>
            </w:r>
          </w:p>
        </w:tc>
      </w:tr>
      <w:tr>
        <w:trPr>
          <w:cantSplit/>
        </w:trP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Can pharmacy updates remain traceable?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Role-based update scenarios on seeded data.</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Audit record completeness and unauthorized-edit rejection rate.</w:t>
            </w:r>
          </w:p>
        </w:tc>
      </w:tr>
    </w:tbl>
    <w:p>
      <w:pPr>
        <w:spacing w:after="20"/>
      </w:pPr>
    </w:p>
    <w:p>
      <w:pPr>
        <w:spacing w:after="120"/>
        <w:keepLines/>
      </w:pPr>
      <w:r>
        <w:rPr>
          <w:rFonts w:ascii="Arial" w:hAnsi="Arial"/>
          <w:color w:val="1F2933"/>
        </w:rPr>
        <w:t>The literature survey must be completed before claiming a confirmed research gap. Restrict the final survey to journal papers published from 2024 through 2026 in Springer, IEEE, Elsevier, ACM, or MDPI venues; exclude conference papers. Verify every candidate on the publisher page, capture DOI, journal title, year, method, limitations, and direct relevance. Do not cite a paper based only on a search snippet.</w:t>
      </w:r>
    </w:p>
    <w:p>
      <w:pPr>
        <w:pStyle w:val="Heading1"/>
        <w:keepNext/>
      </w:pPr>
      <w:r>
        <w:t>9. SDG and domain mapping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52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Mapping</w:t>
            </w:r>
          </w:p>
        </w:tc>
        <w:tc>
          <w:tcPr>
            <w:tcW w:type="dxa" w:w="583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Relevance</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Primary SDG: SDG 3 Good Health and Well Being</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MedFind aims to reduce information friction around medicine access and care discovery. It must not overstate clinical impact.</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Secondary SDG: SDG 9 Industry Innovation and Infrastructure</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The prototype demonstrates a structured, auditable information layer linking community providers and users.</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Academic domain</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Health Informatics, Mobile Computing, Location Based Services, Human Centered Design, and Database Systems.</w:t>
            </w:r>
          </w:p>
        </w:tc>
      </w:tr>
      <w:tr>
        <w:trPr>
          <w:cantSplit/>
        </w:trPr>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Ethics lens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Data minimization, truthful availability communication, accessibility, and responsible emergency interaction design.</w:t>
            </w:r>
          </w:p>
        </w:tc>
      </w:tr>
    </w:tbl>
    <w:p>
      <w:pPr>
        <w:spacing w:after="20"/>
      </w:pPr>
    </w:p>
    <w:p>
      <w:pPr>
        <w:pStyle w:val="Heading1"/>
        <w:keepNext/>
      </w:pPr>
      <w:r>
        <w:t>10. Delivery phases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Phase</w:t>
            </w:r>
          </w:p>
        </w:tc>
        <w:tc>
          <w:tcPr>
            <w:tcW w:type="dxa" w:w="223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Dates</w:t>
            </w:r>
          </w:p>
        </w:tc>
        <w:tc>
          <w:tcPr>
            <w:tcW w:type="dxa" w:w="475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Outcome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Scope and foundation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22 to 26 Oct 2026</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Finalize requirements, visual tokens, ER model, seeded data format, and literature-search protocol.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Review 2 readiness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27 to 31 Oct 2026</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Demonstrate problem, architecture, early screens, data model, and an honest integration boundary.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MVP implementation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1 to 18 Nov 2026</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Complete search, freshness states, provider directory, emergency action, staff update flow, and test evidence.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Review 3 readiness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23 to 30 Nov 2026</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Present working MVP, scenario results, limitations, and initial evaluation evidence.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Report and hardening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1 to 15 Dec 2026</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Complete final report, citations, screenshots, test appendix, demonstration script, and submission checks.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Academic integrity check</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Before 15 Dec 2026</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Run the designated similarity and AI-content checks; each result must be below 25 percent. Rewrite, cite, and verify rather than trying to game a detector.</w:t>
            </w:r>
          </w:p>
        </w:tc>
      </w:tr>
    </w:tbl>
    <w:p>
      <w:pPr>
        <w:spacing w:after="20"/>
      </w:pPr>
    </w:p>
    <w:p>
      <w:pPr>
        <w:pStyle w:val="Heading1"/>
        <w:keepNext/>
      </w:pPr>
      <w:r>
        <w:t>11. Risks and mitigations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Risk</w:t>
            </w:r>
          </w:p>
        </w:tc>
        <w:tc>
          <w:tcPr>
            <w:tcW w:type="dxa" w:w="619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Mitigation</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No live pharmacy partner data</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Use clearly marked seeded pilot data and simulate updates only for the demo. Do not label it live.</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Stale stock updates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Show exact timestamps, age bands, a Call first cue, and a staff update dashboard.</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Scope grows into delivery or dispatch</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Keep those out of the MVP. Document future integration requirements separately.</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Incorrect provider listing</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Record source and reviewed date; assign admin ownership and a correction workflow.</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Weak research evidence</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Use the required journal-only source protocol and state that gap claims remain provisional until the survey is complete.</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Team schedule pressure</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Freeze MVP scope after Review 2 and keep a named owner plus acceptance test for each capability.</w:t>
            </w:r>
          </w:p>
        </w:tc>
      </w:tr>
    </w:tbl>
    <w:p>
      <w:pPr>
        <w:spacing w:after="20"/>
      </w:pPr>
    </w:p>
    <w:p>
      <w:pPr>
        <w:pStyle w:val="Heading1"/>
        <w:keepNext/>
      </w:pPr>
      <w:r>
        <w:t>12. Review gates</w:t>
      </w:r>
    </w:p>
    <w:p>
      <w:pPr>
        <w:pStyle w:val="ListBullet"/>
        <w:spacing w:after="60"/>
        <w:keepLines/>
      </w:pPr>
      <w:r>
        <w:rPr>
          <w:rFonts w:ascii="Arial" w:hAnsi="Arial"/>
          <w:color w:val="1F2933"/>
        </w:rPr>
        <w:t>Review 2: approved problem framing, scope boundary, visual design, stack choice, data model, project plan, and journal-literature search protocol.</w:t>
      </w:r>
    </w:p>
    <w:p>
      <w:pPr>
        <w:pStyle w:val="ListBullet"/>
        <w:spacing w:after="60"/>
        <w:keepLines/>
      </w:pPr>
      <w:r>
        <w:rPr>
          <w:rFonts w:ascii="Arial" w:hAnsi="Arial"/>
          <w:color w:val="1F2933"/>
        </w:rPr>
        <w:t>Review 3: working Android prototype using seeded or partner-approved data, demonstrated safety guardrails, test cases, evaluation plan, and documented limitations.</w:t>
      </w:r>
    </w:p>
    <w:p>
      <w:pPr>
        <w:pStyle w:val="ListBullet"/>
        <w:spacing w:after="60"/>
        <w:keepLines/>
      </w:pPr>
      <w:r>
        <w:rPr>
          <w:rFonts w:ascii="Arial" w:hAnsi="Arial"/>
          <w:color w:val="1F2933"/>
        </w:rPr>
        <w:t>Final submission: report due 15 December 2026 with verified citations, implementation evidence, results, limitations, SDG/domain mapping, and similarity plus AI-content scores below 25 percent.</w:t>
      </w:r>
    </w:p>
    <w:p>
      <w:pPr>
        <w:pStyle w:val="Heading1"/>
        <w:keepNext/>
      </w:pPr>
      <w:r>
        <w:t>13. Final submission checklist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Check</w:t>
            </w:r>
          </w:p>
        </w:tc>
        <w:tc>
          <w:tcPr>
            <w:tcW w:type="dxa" w:w="7272"/>
            <w:shd w:fill="22313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jc w:val="left"/>
            </w:pPr>
            <w:r>
              <w:rPr>
                <w:rFonts w:ascii="Arial" w:hAnsi="Arial"/>
                <w:b/>
                <w:color w:val="FFFFFF"/>
                <w:sz w:val="17"/>
              </w:rPr>
              <w:t>Evidence to keep</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Truthful demo</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 visible seeded-data or partner-data label, timestamps on stock results, and no unsupported live-capacity or dispatch claim.</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Research integrity</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Publisher-verified 2024 to 2026 journal sources, complete citations, literature matrix, and no unverified gap claim.</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Build quality</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Test cases for search, freshness, access control, error states, and two-theme accessibility checks.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Academic submission</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5F7F6"/>
            <w:vAlign w:val="center"/>
          </w:tcPr>
          <w:p>
            <w:pPr>
              <w:jc w:val="left"/>
            </w:pPr>
            <w:r>
              <w:rPr>
                <w:rFonts w:ascii="Arial" w:hAnsi="Arial"/>
                <w:color w:val="1F2933"/>
                <w:sz w:val="17"/>
              </w:rPr>
              <w:t>Similarity and AI-content reports under 25 percent, team-reviewed prose, and all facts checked against project evidence.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Presentation readiness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1F2933"/>
                <w:sz w:val="17"/>
              </w:rPr>
              <w:t>A short scenario-led demo, backup screenshots, and a direct explanation of the project’s scope and limitations.</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873"/>
        <w:sz w:val="15"/>
      </w:rPr>
      <w:t xml:space="preserve">Product Requirements Document  |  Version 1.0  |  22 October 2026  |  </w:t>
    </w:r>
    <w:r>
      <w:rPr>
        <w:rFonts w:ascii="Arial" w:hAnsi="Arial"/>
        <w:color w:val="5E6873"/>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E6873"/>
        <w:sz w:val="15"/>
      </w:rPr>
      <w:t>MEDFIND  |  BMSCE CSE SEMESTER 5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top w:val="nil"/>
        <w:left w:val="nil"/>
        <w:right w:val="nil"/>
        <w:between w:val="nil"/>
        <w:bar w:val="nil"/>
      </w:pBdr>
      <w:spacing w:after="160" w:line="240" w:lineRule="auto"/>
      <w:contextualSpacing/>
    </w:pPr>
    <w:rPr>
      <w:rFonts w:asciiTheme="majorHAnsi" w:eastAsiaTheme="majorEastAsia" w:hAnsiTheme="majorHAnsi" w:cstheme="majorBidi" w:ascii="Georgia" w:hAnsi="Georgia"/>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