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F3A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32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一、文档概述</w:t>
      </w:r>
    </w:p>
    <w:p w14:paraId="2880C3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1.1 版本历史</w:t>
      </w:r>
    </w:p>
    <w:p w14:paraId="1C648453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6"/>
          <w:bottom w:val="none" w:color="auto" w:sz="0" w:space="0"/>
          <w:right w:val="single" w:color="auto" w:sz="2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2"/>
        <w:gridCol w:w="900"/>
        <w:gridCol w:w="622"/>
        <w:gridCol w:w="3840"/>
      </w:tblGrid>
      <w:tr w14:paraId="0980C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E86D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57E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47D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修订人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AD1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修订内容</w:t>
            </w:r>
          </w:p>
        </w:tc>
      </w:tr>
      <w:tr w14:paraId="571EB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274E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V1.0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86A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2026-05-04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3446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2329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初稿，基于系统截图梳理功能模块</w:t>
            </w:r>
          </w:p>
        </w:tc>
      </w:tr>
      <w:tr w14:paraId="1798D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F196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V2.0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EFB4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2026-05-04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7E1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56B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重构版，补充五大中心架构、三角色协同、业务流程</w:t>
            </w:r>
          </w:p>
        </w:tc>
      </w:tr>
      <w:tr w14:paraId="47A51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D586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V3.0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C2C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2026-05-04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7D2C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C298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终稿，按标准菜单结构重组，所有流程图替换为可视化图片</w:t>
            </w:r>
          </w:p>
        </w:tc>
      </w:tr>
    </w:tbl>
    <w:p w14:paraId="100041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1.2 产品背景</w:t>
      </w:r>
    </w:p>
    <w:p w14:paraId="68DAED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企业商标资产规模持续扩大，案件类型涵盖申请、确权、维权、续展、海外布局等全链路。传统管理模式下，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法务、流程、外部律所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三方信息割裂，存在期限遗漏、证据散失、律所协作低效、费用管控滞后、品牌布局不可视等痛点。本产品旨在构建覆盖"个人中心-管理中心-律所协作-费用管控-管理决策-监测中心-工具Link"的闭环数字化平台。</w:t>
      </w:r>
    </w:p>
    <w:p w14:paraId="01C104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1.3 产品目标</w:t>
      </w:r>
    </w:p>
    <w:p w14:paraId="7947EA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C7DBD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一案到底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：以"商标ID"为唯一主线，串联检索、申请、争议、续展、证据等全生命周期数据</w:t>
      </w:r>
    </w:p>
    <w:p w14:paraId="72F7CDD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68F0D4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13D3F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三方协同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：法务、流程人员、外部律所同一平台协作，消除信息孤岛</w:t>
      </w:r>
    </w:p>
    <w:p w14:paraId="1C8158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AB277D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7996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期限零遗漏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：官方绝限→内部期限→客户期限三重管控，自动计算工作日并避开节假日</w:t>
      </w:r>
    </w:p>
    <w:p w14:paraId="362AB62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44A96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C9DA6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费控前置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：预算编制-账单核对-付款审批-ROI分析全链路数字化</w:t>
      </w:r>
    </w:p>
    <w:p w14:paraId="21C3DF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C2F4B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6358F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品牌可视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：45类矩阵式品牌图谱，直观识别保护缺口与资产分级</w:t>
      </w:r>
    </w:p>
    <w:p w14:paraId="077722E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94BC3D5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6EB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3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二、产品定位与用户体系</w:t>
      </w:r>
    </w:p>
    <w:p w14:paraId="1A2895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2.1 产品定位</w:t>
      </w:r>
    </w:p>
    <w:p w14:paraId="230F81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面向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中大型企业法务部/IP部门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及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大型商标代理机构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的专业级商标资产管理与律所协作平台，提供从商标检索、申请注册、行政确权、司法维权、海外布局到战略决策的一站式解决方案。</w:t>
      </w:r>
    </w:p>
    <w:p w14:paraId="2CBDBB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2.2 用户角色与权限体系</w:t>
      </w:r>
    </w:p>
    <w:p w14:paraId="50020FF7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6"/>
          <w:bottom w:val="none" w:color="auto" w:sz="0" w:space="0"/>
          <w:right w:val="single" w:color="auto" w:sz="2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9"/>
        <w:gridCol w:w="1960"/>
        <w:gridCol w:w="3113"/>
        <w:gridCol w:w="2584"/>
      </w:tblGrid>
      <w:tr w14:paraId="1040E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6588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F41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核心职责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5A30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系统权限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C28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关键场景</w:t>
            </w:r>
          </w:p>
        </w:tc>
      </w:tr>
      <w:tr w14:paraId="7AE20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65A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法务（IPR）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E5A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商标策略制定、案件审核、律所管理、风险决策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49F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全模块读写（除财务敏感字段）、审批权限、报表查看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6D4E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审核律所提交的理由书、批注法律文件、查看品牌图谱、审批预算</w:t>
            </w:r>
          </w:p>
        </w:tc>
      </w:tr>
      <w:tr w14:paraId="07904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B9C0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流程人员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8800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案件建档、官方文件处理、期限监控、费用请款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3F11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案件管理中心全权限、期限监控、费用中心账单/请款操作、文档管理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2BB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创建案件、录入官文、监控绝限、发起付款申请</w:t>
            </w:r>
          </w:p>
        </w:tc>
      </w:tr>
      <w:tr w14:paraId="2038A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7B5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外部律所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572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案件代理、法律文件撰写、进度反馈、账单提交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EA0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律所门户独立工作空间（数据隔离）、案件进度更新、文件上传、在线委托确认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5645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接收委托、提交理由书、更新官方进展、提交服务账单</w:t>
            </w:r>
          </w:p>
        </w:tc>
      </w:tr>
      <w:tr w14:paraId="61B75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5C9B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管理层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2CCD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战略决策、预算审批、供应商优化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BA6C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管理决策中心、费用分析报表、全局视图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A00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查看商标布局大盘、律所效能对比、预算执行率</w:t>
            </w:r>
          </w:p>
        </w:tc>
      </w:tr>
    </w:tbl>
    <w:p w14:paraId="4CE7ED7E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sz w:val="24"/>
          <w:szCs w:val="24"/>
        </w:rP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84E6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3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三、系统功能架构</w:t>
      </w:r>
    </w:p>
    <w:p w14:paraId="35DE6D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instrText xml:space="preserve"> HYPERLINK "sandbox:///mnt/agents/output/architecture_system.png" \t "https://www.kimi.com/chat/_blank"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sz w:val="14"/>
          <w:szCs w:val="14"/>
          <w:u w:val="none"/>
          <w:bdr w:val="none" w:color="auto" w:sz="0" w:space="0"/>
          <w:shd w:val="clear" w:fill="FFFFFF"/>
          <w:vertAlign w:val="baseline"/>
        </w:rPr>
        <w:t>sandbox:///mnt/agents/output/architecture_system.png</w: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end"/>
      </w:r>
    </w:p>
    <w:p w14:paraId="3FFC15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架构说明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0E9BC79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6F9875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用户层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：法务、流程人员、外部律所、管理层四类角色分权访问</w:t>
      </w:r>
    </w:p>
    <w:p w14:paraId="5159644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377C96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52411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应用层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：按菜单结构划分为七大一级模块，案件管理与品牌管理下设多级子菜单</w:t>
      </w:r>
    </w:p>
    <w:p w14:paraId="684393E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5646A2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C474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支撑层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：案件引擎、OCR识别、期限计算、消息中心、文件存储、数据同步、飞书集成、电子签章</w:t>
      </w:r>
    </w:p>
    <w:p w14:paraId="30DE7AA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D3633E9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DA6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3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四、详细功能需求（按菜单结构）</w:t>
      </w:r>
    </w:p>
    <w:p w14:paraId="51385B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4.1 个人中心</w:t>
      </w:r>
    </w:p>
    <w:p w14:paraId="6C0838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个人中心为每位用户提供个性化的工作入口与数据视图。</w:t>
      </w:r>
    </w:p>
    <w:p w14:paraId="66C2D4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4.1.1 仪表盘</w:t>
      </w:r>
    </w:p>
    <w:p w14:paraId="21FFEF9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AF2A4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数据卡片区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：展示核心KPI（待处理案件数、本周到期期限、在册商标总量、本月新申请/新注册数量）</w:t>
      </w:r>
    </w:p>
    <w:p w14:paraId="32EEA98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0B397A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2D202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期限预警区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：按紧急程度（紧急/即将到期/已逾期）展示近期法定期限，支持一键跳转</w:t>
      </w:r>
    </w:p>
    <w:p w14:paraId="7135EF8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E4ED2D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480AF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快捷操作区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：快速新建案件、快速检索入口</w:t>
      </w:r>
    </w:p>
    <w:p w14:paraId="156A98E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5E75E3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6AA88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图表分析区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：案件趋势图、业务类型分布饼图、商标状态分布</w:t>
      </w:r>
    </w:p>
    <w:p w14:paraId="54CE8B7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9C210D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B17E9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待办消息区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：官方文件待接收/待答复提醒、客户待确认事项</w:t>
      </w:r>
    </w:p>
    <w:p w14:paraId="2697558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9796A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4.1.2 待办事项</w:t>
      </w:r>
    </w:p>
    <w:p w14:paraId="0C831A0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7242F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汇总当前用户所有待处理任务（案件审批、文件批注、期限提醒、付款审批）</w:t>
      </w:r>
    </w:p>
    <w:p w14:paraId="7CF01DD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6A6BF5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AC78C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支持按业务类型、紧急程度、到期时间排序</w:t>
      </w:r>
    </w:p>
    <w:p w14:paraId="1A8DFD6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812085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705D3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一键穿透至对应处理页面</w:t>
      </w:r>
    </w:p>
    <w:p w14:paraId="491FC70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2F266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4.1.3 已办事项</w:t>
      </w:r>
    </w:p>
    <w:p w14:paraId="3F213B3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67D2F6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记录用户历史处理记录（已审批案件、已批注文件、已确认委托）</w:t>
      </w:r>
    </w:p>
    <w:p w14:paraId="7AA1330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082A2B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83F97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支持按时间段、业务类型筛选与导出</w:t>
      </w:r>
    </w:p>
    <w:p w14:paraId="6A2B3D4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131750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4.1.4 我的案件</w:t>
      </w:r>
    </w:p>
    <w:p w14:paraId="5E46D9D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E06D6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展示当前用户负责或参与的全部案件列表</w:t>
      </w:r>
    </w:p>
    <w:p w14:paraId="0910576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2F21FF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B92AE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支持按国内/海外、案件类型、状态、期限筛选</w:t>
      </w:r>
    </w:p>
    <w:p w14:paraId="0B2D0AE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C905A7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0EAD5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列表字段：案件编号、商标名称、业务类型、当前节点、官方绝限、内部期限、责任人</w:t>
      </w:r>
    </w:p>
    <w:p w14:paraId="32A682E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1B883C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4.1.5 抄送案件</w:t>
      </w:r>
    </w:p>
    <w:p w14:paraId="1C9B997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B4AAC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展示抄送给当前用户的案件（仅查看权限，无编辑权限）</w:t>
      </w:r>
    </w:p>
    <w:p w14:paraId="5461C50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63FE980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53E69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支持关注/取消关注，关注后接收该案件进度变更通知</w:t>
      </w:r>
    </w:p>
    <w:p w14:paraId="65C0B0E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BCA34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4.1.6 我的草稿</w:t>
      </w:r>
    </w:p>
    <w:p w14:paraId="01722C5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9AC87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保存用户未提交的案件创建草稿、检索报告草稿、费用申请草稿</w:t>
      </w:r>
    </w:p>
    <w:p w14:paraId="2B98D92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457256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C0BF0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支持草稿续编、复制、删除</w:t>
      </w:r>
    </w:p>
    <w:p w14:paraId="0A7D5CE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CCC6666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6EB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4.2 管理中心</w:t>
      </w:r>
    </w:p>
    <w:p w14:paraId="5BB312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4.2.1 案件管理中心</w:t>
      </w:r>
    </w:p>
    <w:p w14:paraId="26F7F1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案件管理中心是系统的核心模块，覆盖国内与海外商标案件的全生命周期管理。</w:t>
      </w:r>
    </w:p>
    <w:p w14:paraId="6A73AB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4.2.1.1 国内案件</w:t>
      </w:r>
    </w:p>
    <w:p w14:paraId="042420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instrText xml:space="preserve"> HYPERLINK "sandbox:///mnt/agents/output/process_domestic_lifecycle.png" \t "https://www.kimi.com/chat/_blank"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sz w:val="14"/>
          <w:szCs w:val="14"/>
          <w:u w:val="none"/>
          <w:bdr w:val="none" w:color="auto" w:sz="0" w:space="0"/>
          <w:shd w:val="clear" w:fill="FFFFFF"/>
          <w:vertAlign w:val="baseline"/>
        </w:rPr>
        <w:t>sandbox:///mnt/agents/output/process_domestic_lifecycle.png</w: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end"/>
      </w:r>
    </w:p>
    <w:p w14:paraId="0C073C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四级菜单功能清单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47C49316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6"/>
          <w:bottom w:val="none" w:color="auto" w:sz="0" w:space="0"/>
          <w:right w:val="single" w:color="auto" w:sz="2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"/>
        <w:gridCol w:w="2046"/>
        <w:gridCol w:w="5333"/>
      </w:tblGrid>
      <w:tr w14:paraId="38F1F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A1B7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四级菜单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56E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功能说明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65F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关键字段/流程</w:t>
            </w:r>
          </w:p>
        </w:tc>
      </w:tr>
      <w:tr w14:paraId="08986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604E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风险评估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7AA9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申请前的近似检索与风险评级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596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商标名称、尼斯分类、近似比对、风险评级（高/中/低）、检索报告生成</w:t>
            </w:r>
          </w:p>
        </w:tc>
      </w:tr>
      <w:tr w14:paraId="517DC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AD9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新申请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D54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国内商标新申请全流程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1F4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商标ID生成、商品/服务选择（尼斯分类库）、申请人信息、官费计算、流程节点跟踪</w:t>
            </w:r>
          </w:p>
        </w:tc>
      </w:tr>
      <w:tr w14:paraId="629EA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BCC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驳回案件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A59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商标被驳回后的处理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9FC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驳回理由分类、引证商标（引标）列表（支持自定义列扩展）、复审决策、关联原申请案</w:t>
            </w:r>
          </w:p>
        </w:tc>
      </w:tr>
      <w:tr w14:paraId="29132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364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异议/无效案件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14F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主动发起的争议程序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ADE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被异议/无效商标导入、异议理由、引证商标、法定期限倒计时（异议期3个月）</w:t>
            </w:r>
          </w:p>
        </w:tc>
      </w:tr>
      <w:tr w14:paraId="0FDBF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9B7A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撤销案件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F98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连续三年不使用撤销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421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被撤销商标信息、撤销商品/服务项目（可部分撤销）、被申请人证据跟踪</w:t>
            </w:r>
          </w:p>
        </w:tc>
      </w:tr>
      <w:tr w14:paraId="57CF2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887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诉讼案件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BF99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行政诉讼全流程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7073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一审/二审/再审、受理法院（北京知产法院/北京高院/最高院）、案号、判决书管理</w:t>
            </w:r>
          </w:p>
        </w:tc>
      </w:tr>
      <w:tr w14:paraId="39857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C493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使用证据/宣誓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D9C3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商标使用证据归集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219F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证据分类（销售/广告/展会/产品包装）、按年度归集、OCR识别、关联商标与案件</w:t>
            </w:r>
          </w:p>
        </w:tc>
      </w:tr>
      <w:tr w14:paraId="4ACA7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4ECF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变转续补正限缩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3D8F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变更、转让、许可、补正、限缩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0030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名义/地址/代理人变更、转让协议、许可备案、审查意见补正、商品限缩</w:t>
            </w:r>
          </w:p>
        </w:tc>
      </w:tr>
      <w:tr w14:paraId="1ED91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3A4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商标续展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193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注册商标续展管理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A70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正常续展/宽展期续展（官费自动区分）、批量续展、续展后有效期计算</w:t>
            </w:r>
          </w:p>
        </w:tc>
      </w:tr>
      <w:tr w14:paraId="7C50B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62F9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维权相关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60A9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维权案件统一管理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1BE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侵权监测对接、行政投诉、律师函、平台投诉（电商/社交）</w:t>
            </w:r>
          </w:p>
        </w:tc>
      </w:tr>
      <w:tr w14:paraId="58A15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4A9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手续文件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EB9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各类手续文件管理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7369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委托书（POA）、公认证文件、送达地址确认、代理人变更手续</w:t>
            </w:r>
          </w:p>
        </w:tc>
      </w:tr>
      <w:tr w14:paraId="66ADA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4F8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共存/和解谈判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3695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商标共存与购买谈判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7C88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共存协议起草、谈判记录、购买价格评估、合同审批流</w:t>
            </w:r>
          </w:p>
        </w:tc>
      </w:tr>
      <w:tr w14:paraId="42B42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AD6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特殊类型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6180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非常规案件类型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16AC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集体商标、证明商标、地理标志、声音商标等特殊形态案件</w:t>
            </w:r>
          </w:p>
        </w:tc>
      </w:tr>
    </w:tbl>
    <w:p w14:paraId="5EBF35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案件创建核心规则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37DF0D8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7FA6A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一键生成唯一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"商标ID"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，作为全生命周期唯一主键</w:t>
      </w:r>
    </w:p>
    <w:p w14:paraId="60DAC99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555C17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D9A11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必填字段：申请号、商标图样、尼斯分类、商品/服务项、申请日、优先权日</w:t>
      </w:r>
    </w:p>
    <w:p w14:paraId="05F3F9D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73F0AB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81C2B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智能继承相似案件信息（同品牌/同类别/同律所的历史案件字段自动填充）</w:t>
      </w:r>
    </w:p>
    <w:p w14:paraId="7D662C9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AFD652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98E70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案件类型字段：项目、检索、申请、争议冲突、诉讼、第三方、其他</w:t>
      </w:r>
    </w:p>
    <w:p w14:paraId="5A2A46B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60F71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流程配置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423624A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99D73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可视化流程设计器，拖拽式节点配置</w:t>
      </w:r>
    </w:p>
    <w:p w14:paraId="79D36DB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8F231A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9BA6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流程节点看板：</w:t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接案 → 材料准备 → 提交申请 → 受理 → 审查中 → 初审公告 → 注册公告 → 续展</w:t>
      </w:r>
    </w:p>
    <w:p w14:paraId="28D13E5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483F24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9642E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根据官方结果自动分支（初审通过→公告；初审驳回→复审/放弃）</w:t>
      </w:r>
    </w:p>
    <w:p w14:paraId="38907B8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D0E9D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期限管理（三重管控）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3ACA6D1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86B9D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官方绝限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：法律强制期限（答辩期30日、复审期15日、异议期3个月、续展期+宽展期）</w:t>
      </w:r>
    </w:p>
    <w:p w14:paraId="210C64E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6751BDC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655C7E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内部期限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：团队内部处理截止日（通常早于绝限3-5个工作日）</w:t>
      </w:r>
    </w:p>
    <w:p w14:paraId="4CA3A13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A0F8CE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1868D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客户期限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：客户确认/材料提供截止日（通常早于内部期限）</w:t>
      </w:r>
    </w:p>
    <w:p w14:paraId="7872FD5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BBB95A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5B630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自动计算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工作日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，自动避开法定节假日、商标局休假日</w:t>
      </w:r>
    </w:p>
    <w:p w14:paraId="03ED103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17B397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3453C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多级提醒：到期前90天、30天、7天、1天、当日、逾期</w:t>
      </w:r>
    </w:p>
    <w:p w14:paraId="3A3373A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D6628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文档管理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4F98B29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B6A1D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文件云库自动关联案件所有历史文件（注册证、驳回通知书、异议申请书、缴费凭证）</w:t>
      </w:r>
    </w:p>
    <w:p w14:paraId="3598AA7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963DB8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B49C8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OCR识别官方文件关键信息（申请号、发文日、法定期限、结论类型）</w:t>
      </w:r>
    </w:p>
    <w:p w14:paraId="172D711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000B49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121E5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律所提交的理由书等文件，法务在线批注、驳回或通过，所有版本迭代记录在案</w:t>
      </w:r>
    </w:p>
    <w:p w14:paraId="0BD99FD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52C1B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4.2.1.2 海外案件</w:t>
      </w:r>
    </w:p>
    <w:p w14:paraId="7396CA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instrText xml:space="preserve"> HYPERLINK "sandbox:///mnt/agents/output/process_overseas.png" \t "https://www.kimi.com/chat/_blank"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sz w:val="14"/>
          <w:szCs w:val="14"/>
          <w:u w:val="none"/>
          <w:bdr w:val="none" w:color="auto" w:sz="0" w:space="0"/>
          <w:shd w:val="clear" w:fill="FFFFFF"/>
          <w:vertAlign w:val="baseline"/>
        </w:rPr>
        <w:t>sandbox:///mnt/agents/output/process_overseas.png</w: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end"/>
      </w:r>
    </w:p>
    <w:p w14:paraId="6EC210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四级菜单功能清单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（与国内案件同名菜单功能逻辑一致，差异点如下）：</w:t>
      </w:r>
    </w:p>
    <w:p w14:paraId="480C0411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6"/>
          <w:bottom w:val="none" w:color="auto" w:sz="0" w:space="0"/>
          <w:right w:val="single" w:color="auto" w:sz="2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3"/>
        <w:gridCol w:w="7403"/>
      </w:tblGrid>
      <w:tr w14:paraId="33607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3F4D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四级菜单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EEB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海外特殊逻辑</w:t>
            </w:r>
          </w:p>
        </w:tc>
      </w:tr>
      <w:tr w14:paraId="15704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8320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单一申请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B1A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目标国家/地区多选分别建案、申请基础（是否基于国内申请）、国外合作代理机构信息、当地申请号/注册号/日期</w:t>
            </w:r>
          </w:p>
        </w:tc>
      </w:tr>
      <w:tr w14:paraId="4C8AF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FD8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马德里申请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A48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基础申请/注册号（国内基础）、指定国家（缔约方）、国际申请号/注册号（WIPO下发）、中心打击记录、后期指定/变更/续展</w:t>
            </w:r>
          </w:p>
        </w:tc>
      </w:tr>
      <w:tr w14:paraId="04408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CAF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风险评估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7940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接入海外检索工具（Fovea等）、各国法律差异提示</w:t>
            </w:r>
          </w:p>
        </w:tc>
      </w:tr>
      <w:tr w14:paraId="36C06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B49C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驳回案件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0D35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各国驳回理由差异、当地代理律师意见管理</w:t>
            </w:r>
          </w:p>
        </w:tc>
      </w:tr>
      <w:tr w14:paraId="37797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DC9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异议/无效案件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B9FE2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各国异议/无效程序差异（如美国TTAB、欧盟EUIPO）</w:t>
            </w:r>
          </w:p>
        </w:tc>
      </w:tr>
      <w:tr w14:paraId="09CD2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652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撤销案件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1102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各国撤销制度差异（如美国使用声明、欧盟不使用撤销）</w:t>
            </w:r>
          </w:p>
        </w:tc>
      </w:tr>
      <w:tr w14:paraId="58EC3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FC3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诉讼案件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EE8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当地法院信息、当地诉讼代理管理</w:t>
            </w:r>
          </w:p>
        </w:tc>
      </w:tr>
      <w:tr w14:paraId="7A05A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D7A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使用证据/宣誓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A79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美国Section 8/15使用声明、加拿大使用声明、菲律宾宣誓等各国特殊要求</w:t>
            </w:r>
          </w:p>
        </w:tc>
      </w:tr>
      <w:tr w14:paraId="47DA8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D75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变转续补正限缩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47B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各国转让要求（如美国需连同商誉转让）、各国续展周期差异</w:t>
            </w:r>
          </w:p>
        </w:tc>
      </w:tr>
      <w:tr w14:paraId="03F55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A4A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商标续展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E56B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各国续展期限差异、宽展期规则差异、多币种费用计算</w:t>
            </w:r>
          </w:p>
        </w:tc>
      </w:tr>
      <w:tr w14:paraId="4A274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7A6C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维权相关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BFC0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海外海关备案、海外电商平台投诉、海外侵权诉讼</w:t>
            </w:r>
          </w:p>
        </w:tc>
      </w:tr>
      <w:tr w14:paraId="0816B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E59A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手续文件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D435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POA公证认证（各国要求不同）、领事认证/海牙认证、翻译件管理</w:t>
            </w:r>
          </w:p>
        </w:tc>
      </w:tr>
      <w:tr w14:paraId="68AB2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5143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共存/和解谈判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6291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跨境共存协议、多司法辖区同时谈判</w:t>
            </w:r>
          </w:p>
        </w:tc>
      </w:tr>
      <w:tr w14:paraId="3E3D8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99A3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特殊类型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F5B55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欧盟集体商标、美国 intent-to-use 申请、日本防御商标等</w:t>
            </w:r>
          </w:p>
        </w:tc>
      </w:tr>
    </w:tbl>
    <w:p w14:paraId="0BE9B7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海外公共流程支撑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54F9D3F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2C5A5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费用管理（多币种自动换算）</w:t>
      </w:r>
    </w:p>
    <w:p w14:paraId="03407EB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A9CAC6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34139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国外合作所管理（评级、费用、时效对比）</w:t>
      </w:r>
    </w:p>
    <w:p w14:paraId="347F849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79293A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E8AA0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官方文件翻译管理（原文+译文双轨存储）</w:t>
      </w:r>
    </w:p>
    <w:p w14:paraId="5420F52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7993FF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190019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时效监控（各国审查周期差异配置）</w:t>
      </w:r>
    </w:p>
    <w:p w14:paraId="3D3024A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70BF0D4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1B4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4.2.2 品牌管理</w:t>
      </w:r>
    </w:p>
    <w:p w14:paraId="0B0C3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instrText xml:space="preserve"> HYPERLINK "sandbox:///mnt/agents/output/architecture_brand.png" \t "https://www.kimi.com/chat/_blank"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sz w:val="14"/>
          <w:szCs w:val="14"/>
          <w:u w:val="none"/>
          <w:bdr w:val="none" w:color="auto" w:sz="0" w:space="0"/>
          <w:shd w:val="clear" w:fill="FFFFFF"/>
          <w:vertAlign w:val="baseline"/>
        </w:rPr>
        <w:t>sandbox:///mnt/agents/output/architecture_brand.png</w: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end"/>
      </w:r>
    </w:p>
    <w:p w14:paraId="545D85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4.2.2.1 内部品牌</w:t>
      </w:r>
    </w:p>
    <w:p w14:paraId="7652174A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6"/>
          <w:bottom w:val="none" w:color="auto" w:sz="0" w:space="0"/>
          <w:right w:val="single" w:color="auto" w:sz="2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4890"/>
      </w:tblGrid>
      <w:tr w14:paraId="19042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EFAB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540F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E674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FE60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商标购买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F0E1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外部商标收购需求管理、尽职调查、价格评估、转让流程跟踪、商标ID继承</w:t>
            </w:r>
          </w:p>
        </w:tc>
      </w:tr>
      <w:tr w14:paraId="6F8F8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9738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商标许可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977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许可合同管理、许可备案跟踪、许可期限监控、被许可方使用监督</w:t>
            </w:r>
          </w:p>
        </w:tc>
      </w:tr>
      <w:tr w14:paraId="42421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D7C32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商标放弃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29C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放弃评估（维护成本vs商标价值）、放弃审批流、官方放弃手续跟踪</w:t>
            </w:r>
          </w:p>
        </w:tc>
      </w:tr>
      <w:tr w14:paraId="72046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F0DA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商标续展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9E0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内部品牌视角的续展集中管理（区别于案件视角，按品牌线批量决策）</w:t>
            </w:r>
          </w:p>
        </w:tc>
      </w:tr>
    </w:tbl>
    <w:p w14:paraId="364818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4.2.2.2 外部合作</w:t>
      </w:r>
    </w:p>
    <w:p w14:paraId="027507B0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6"/>
          <w:bottom w:val="none" w:color="auto" w:sz="0" w:space="0"/>
          <w:right w:val="single" w:color="auto" w:sz="2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3"/>
        <w:gridCol w:w="4750"/>
      </w:tblGrid>
      <w:tr w14:paraId="49916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A3F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CB4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6BE7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D348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授权他方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765C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本企业商标对外授权管理、授权范围（地域/类别/期限）、 royalty 跟踪</w:t>
            </w:r>
          </w:p>
        </w:tc>
      </w:tr>
      <w:tr w14:paraId="6DC90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767D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他方授权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49AA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外部品牌引入管理、被授权范围、合规使用监督、授权到期预警</w:t>
            </w:r>
          </w:p>
        </w:tc>
      </w:tr>
      <w:tr w14:paraId="2E6B9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857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品牌库图谱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3FE8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核心可视化功能，详见下方独立章节</w:t>
            </w:r>
          </w:p>
        </w:tc>
      </w:tr>
    </w:tbl>
    <w:p w14:paraId="76DA6C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品牌库图谱核心功能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39B9642F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6"/>
          <w:bottom w:val="none" w:color="auto" w:sz="0" w:space="0"/>
          <w:right w:val="single" w:color="auto" w:sz="2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3"/>
        <w:gridCol w:w="4120"/>
        <w:gridCol w:w="622"/>
      </w:tblGrid>
      <w:tr w14:paraId="24A12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702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1CD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详细说明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E839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00706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9719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多维度分类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DB65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按品牌线/类别/地域/法律状态/业务单元多级分类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818B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0C7EF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383F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可视化图谱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39CC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45个类别的矩阵式布局展示，直观呈现保护缺口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A26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7A1F2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B34E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智能检索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EBB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支持商标名称、申请人、类别、状态、代理所等多条件组合查询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6E7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40E15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8BF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资产分级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E249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核心/重要/一般三级标签，关联不同审批流程与预算权限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B63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P1</w:t>
            </w:r>
          </w:p>
        </w:tc>
      </w:tr>
    </w:tbl>
    <w:p w14:paraId="6910660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96C09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矩阵视图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：X轴为尼斯45个类别，Y轴为品牌线/子品牌，单元格展示商标图样+注册号+状态色块，空白单元格高亮显示"保护缺口"</w:t>
      </w:r>
    </w:p>
    <w:p w14:paraId="08733D3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E7D909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3C38E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时间轴视图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：按申请年份展示品牌布局演进</w:t>
      </w:r>
    </w:p>
    <w:p w14:paraId="657C45F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6013AC0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14EFF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状态着色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：有效=绿色，即将到期=黄色，无效=灰色，在审=蓝色</w:t>
      </w:r>
    </w:p>
    <w:p w14:paraId="5F7B437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721543A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3B8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4.3 律所协作中心</w:t>
      </w:r>
    </w:p>
    <w:p w14:paraId="736DCA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instrText xml:space="preserve"> HYPERLINK "sandbox:///mnt/agents/output/process_collaboration.png" \t "https://www.kimi.com/chat/_blank"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sz w:val="14"/>
          <w:szCs w:val="14"/>
          <w:u w:val="none"/>
          <w:bdr w:val="none" w:color="auto" w:sz="0" w:space="0"/>
          <w:shd w:val="clear" w:fill="FFFFFF"/>
          <w:vertAlign w:val="baseline"/>
        </w:rPr>
        <w:t>sandbox:///mnt/agents/output/process_collaboration.png</w: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end"/>
      </w:r>
    </w:p>
    <w:p w14:paraId="0773F46A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6"/>
          <w:bottom w:val="none" w:color="auto" w:sz="0" w:space="0"/>
          <w:right w:val="single" w:color="auto" w:sz="2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4"/>
        <w:gridCol w:w="5590"/>
      </w:tblGrid>
      <w:tr w14:paraId="4C7C2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EE3F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二级菜单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12BB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2A608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34E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咨询/沟通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CDDC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法务与律所的在线法律咨询、策略讨论、案件疑点沟通记录归档</w:t>
            </w:r>
          </w:p>
        </w:tc>
      </w:tr>
      <w:tr w14:paraId="2C92C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39BD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文件交互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047C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案件文件安全传输（替代邮件附件）、大文件批量上传、传输记录留痕、版本控制</w:t>
            </w:r>
          </w:p>
        </w:tc>
      </w:tr>
      <w:tr w14:paraId="67857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A47E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流程沟通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30B4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律所实时更新案件进展、法务在线批注理由书、审批通过/驳回、所有版本迭代记录在案</w:t>
            </w:r>
          </w:p>
        </w:tc>
      </w:tr>
      <w:tr w14:paraId="40CF2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FD0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官文期限总览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CFB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律所视角查看其代理案件的全部官方文件与期限汇总、逾期预警</w:t>
            </w:r>
          </w:p>
        </w:tc>
      </w:tr>
    </w:tbl>
    <w:p w14:paraId="7F8BF1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律所门户核心规则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2F80668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658F56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为每家合作律所开设独立工作空间，数据严格隔离</w:t>
      </w:r>
    </w:p>
    <w:p w14:paraId="281583D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CD8A15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652B2C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律所管理员可创建律师子账号，分配案件权限</w:t>
      </w:r>
    </w:p>
    <w:p w14:paraId="53B51EB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2F510C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2A16E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标准化委托单在线生成，律所在线确认收案与报价</w:t>
      </w:r>
    </w:p>
    <w:p w14:paraId="733AF2C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4F6D2E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E788B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案件结束后法务对律所服务评分（专业能力、响应速度、文件质量、费用合理性），积累供应商数据</w:t>
      </w:r>
    </w:p>
    <w:p w14:paraId="4A2E127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ACB8B85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6E4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4.4 费用中心</w:t>
      </w:r>
    </w:p>
    <w:p w14:paraId="0DBC74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instrText xml:space="preserve"> HYPERLINK "sandbox:///mnt/agents/output/process_cost_control.png" \t "https://www.kimi.com/chat/_blank"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sz w:val="14"/>
          <w:szCs w:val="14"/>
          <w:u w:val="none"/>
          <w:bdr w:val="none" w:color="auto" w:sz="0" w:space="0"/>
          <w:shd w:val="clear" w:fill="FFFFFF"/>
          <w:vertAlign w:val="baseline"/>
        </w:rPr>
        <w:t>sandbox:///mnt/agents/output/process_cost_control.png</w: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end"/>
      </w:r>
    </w:p>
    <w:p w14:paraId="63BAD5F0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6"/>
          <w:bottom w:val="none" w:color="auto" w:sz="0" w:space="0"/>
          <w:right w:val="single" w:color="auto" w:sz="2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5"/>
        <w:gridCol w:w="7761"/>
      </w:tblGrid>
      <w:tr w14:paraId="5A904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FACD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二级菜单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E47E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1DFBE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9761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账单导入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8482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扫描/拍照上传律所账单，OCR识别关键信息（金额、案件号），自动匹配对应案件；律所通过门户在线提交账单</w:t>
            </w:r>
          </w:p>
        </w:tc>
      </w:tr>
      <w:tr w14:paraId="5C544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ACC2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费用总览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366F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全局费用看板：预算余额、已发生费用、待付款金额、按品牌/地域/案件类型分布</w:t>
            </w:r>
          </w:p>
        </w:tc>
      </w:tr>
      <w:tr w14:paraId="476E3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FF8B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付款审批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3D2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多级审批流（金额/类型/律所维度），接入飞书审批，三级状态：待请款→已请款→财务已支付</w:t>
            </w:r>
          </w:p>
        </w:tc>
      </w:tr>
      <w:tr w14:paraId="66A0B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8518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费用分析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F05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预算执行率分析、律所费用对比（性价比评估）、维护成本趋势（单件商标年均成本）、ROI分析（商标投入vs品牌价值增长）</w:t>
            </w:r>
          </w:p>
        </w:tc>
      </w:tr>
    </w:tbl>
    <w:p w14:paraId="6ED89C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费控核心规则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05A21F2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6B3C51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年度/季度预算编制，按品牌线/地域/案件类型/费用类型（官费+代理费）分解</w:t>
      </w:r>
    </w:p>
    <w:p w14:paraId="4E8C057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D25E37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86668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超预算案件自动预警或拦截（可配置）</w:t>
      </w:r>
    </w:p>
    <w:p w14:paraId="2F1F658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B15235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BD511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官费按类别自动计算，代理费按律所归集，费用关联商标ID</w:t>
      </w:r>
    </w:p>
    <w:p w14:paraId="696B6E2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9EC12D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DEC80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一键导出月度应付款清单、年度费用分析报表（按代理所排名、按类别排名）</w:t>
      </w:r>
    </w:p>
    <w:p w14:paraId="1EFB098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0224FE7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57E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4.5 管理决策中心</w:t>
      </w:r>
    </w:p>
    <w:p w14:paraId="34D8BD16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6"/>
          <w:bottom w:val="none" w:color="auto" w:sz="0" w:space="0"/>
          <w:right w:val="single" w:color="auto" w:sz="2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9"/>
        <w:gridCol w:w="7587"/>
      </w:tblGrid>
      <w:tr w14:paraId="2C9CC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83C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二级菜单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4FB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5ACF1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60E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商标全局视图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BA91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商标申请趋势、案量分析、成功率统计；布局覆盖度（类别覆盖、地域覆盖）；资产健康度（有效/在审/即将到期/争议中占比）</w:t>
            </w:r>
          </w:p>
        </w:tc>
      </w:tr>
      <w:tr w14:paraId="02EE0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A6E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品牌风险地图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B41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高风险商标清单（满3年无使用证据、临近有效期未续展、被他人提起争议、在先权利冲突）；品牌风险热力图（按类别/地域展示风险集中度）</w:t>
            </w:r>
          </w:p>
        </w:tc>
      </w:tr>
      <w:tr w14:paraId="2E5D2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43B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律所管理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977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律所档案、服务评分、代理成功率、平均审查周期、费用效率排名；供应商优化建议</w:t>
            </w:r>
          </w:p>
        </w:tc>
      </w:tr>
      <w:tr w14:paraId="12DE9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954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费用管理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5913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预算执行大盘、费用异常预警、超预算案件追踪、多维度费用穿透分析</w:t>
            </w:r>
          </w:p>
        </w:tc>
      </w:tr>
      <w:tr w14:paraId="1EF2E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4EC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案件智能分析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5E0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各类型案件平均审查周期、在审案件滞留分析、结案率/胜诉率趋势、团队效能对比</w:t>
            </w:r>
          </w:p>
        </w:tc>
      </w:tr>
    </w:tbl>
    <w:p w14:paraId="14ABE6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管理层驾驶舱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15F8385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B8033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一屏展示核心KPI：商标总量、年度预算执行率、在审争议案件数、高风险商标数、本周到期期限数</w:t>
      </w:r>
    </w:p>
    <w:p w14:paraId="07FCE76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BB4933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D9F78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智能建议：基于布局缺口建议补充注册类别、基于使用证据缺失建议收集计划、基于律所效能推荐最优代理律所</w:t>
      </w:r>
    </w:p>
    <w:p w14:paraId="109AD7E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442C688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8FE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4.6 监测中心</w:t>
      </w:r>
    </w:p>
    <w:p w14:paraId="7E27BC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instrText xml:space="preserve"> HYPERLINK "sandbox:///mnt/agents/output/architecture_monitoring.png" \t "https://www.kimi.com/chat/_blank"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sz w:val="14"/>
          <w:szCs w:val="14"/>
          <w:u w:val="none"/>
          <w:bdr w:val="none" w:color="auto" w:sz="0" w:space="0"/>
          <w:shd w:val="clear" w:fill="FFFFFF"/>
          <w:vertAlign w:val="baseline"/>
        </w:rPr>
        <w:t>sandbox:///mnt/agents/output/architecture_monitoring.png</w: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end"/>
      </w:r>
    </w:p>
    <w:p w14:paraId="030EEDA7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6"/>
          <w:bottom w:val="none" w:color="auto" w:sz="0" w:space="0"/>
          <w:right w:val="single" w:color="auto" w:sz="2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4"/>
        <w:gridCol w:w="6360"/>
      </w:tblGrid>
      <w:tr w14:paraId="71B2F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BFC9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二级菜单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1BA6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03922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F6B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商标监测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D9D2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监控新申请近似商标、抢注预警；AI近似识别；监测报告自动生成</w:t>
            </w:r>
          </w:p>
        </w:tc>
      </w:tr>
      <w:tr w14:paraId="37D2D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3A8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主体监测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BB262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监控竞争对手/关联主体的商标动态；新申请提醒、转让/变更提醒</w:t>
            </w:r>
          </w:p>
        </w:tc>
      </w:tr>
      <w:tr w14:paraId="46CB0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1E28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重点案件监测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88EA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在审案件状态跟踪、官方流程变更自动同步、审查意见预警</w:t>
            </w:r>
          </w:p>
        </w:tc>
      </w:tr>
      <w:tr w14:paraId="0107C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D02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异议监测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711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初审公告商标监测、与自有商标冲突比对、异议期限预警（公告日起3个月）、异议建议书自动生成</w:t>
            </w:r>
          </w:p>
        </w:tc>
      </w:tr>
    </w:tbl>
    <w:p w14:paraId="1DF6E0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监测输出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76B737F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EF23E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监测报告（PDF/Word）</w:t>
      </w:r>
    </w:p>
    <w:p w14:paraId="2A299C7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00CAAA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C0463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风险预警推送（飞书/邮件/站内信）</w:t>
      </w:r>
    </w:p>
    <w:p w14:paraId="1BC6AB6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6DBD94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B56EC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异议期限日历同步飞书日程</w:t>
      </w:r>
    </w:p>
    <w:p w14:paraId="398F036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1F293729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80B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4.7 商标工具Link</w:t>
      </w:r>
    </w:p>
    <w:p w14:paraId="4A8285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提供常用商标专业工具的快速入口，数据打通与单点登录。</w:t>
      </w:r>
    </w:p>
    <w:p w14:paraId="01947C40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6"/>
          <w:bottom w:val="none" w:color="auto" w:sz="0" w:space="0"/>
          <w:right w:val="single" w:color="auto" w:sz="2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7"/>
        <w:gridCol w:w="2720"/>
      </w:tblGrid>
      <w:tr w14:paraId="569EF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EE7E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921D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60E63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C4F6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海外检索 Fovea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964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海外商标近似检索、全球商标数据库查询</w:t>
            </w:r>
          </w:p>
        </w:tc>
      </w:tr>
      <w:tr w14:paraId="73FAC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3726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国内检索 摩知轮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B4B2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中国商标深度检索、流程监控、图形检索</w:t>
            </w:r>
          </w:p>
        </w:tc>
      </w:tr>
      <w:tr w14:paraId="4138B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1B1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商标局官网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33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中国国家知识产权局商标局官方查询入口</w:t>
            </w:r>
          </w:p>
        </w:tc>
      </w:tr>
      <w:tr w14:paraId="58EEE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07DD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WIPO官网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59D9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马德里国际注册、全球品牌数据库查询</w:t>
            </w:r>
          </w:p>
        </w:tc>
      </w:tr>
      <w:tr w14:paraId="5A3FD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CF2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Darts-ip 案例库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053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全球商标案例、判例检索、法律研究</w:t>
            </w:r>
          </w:p>
        </w:tc>
      </w:tr>
      <w:tr w14:paraId="061DC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033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小米知库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4073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企业内部知识产权知识库、法律意见归档</w:t>
            </w:r>
          </w:p>
        </w:tc>
      </w:tr>
    </w:tbl>
    <w:p w14:paraId="02F3580C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sz w:val="24"/>
          <w:szCs w:val="24"/>
        </w:rP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8A7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3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五、核心业务流程（跨模块）</w:t>
      </w:r>
    </w:p>
    <w:p w14:paraId="349198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5.1 国内商标全生命周期主流程</w:t>
      </w:r>
    </w:p>
    <w:p w14:paraId="2381BA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instrText xml:space="preserve"> HYPERLINK "sandbox:///mnt/agents/output/process_domestic_lifecycle.png" \t "https://www.kimi.com/chat/_blank"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sz w:val="14"/>
          <w:szCs w:val="14"/>
          <w:u w:val="none"/>
          <w:bdr w:val="none" w:color="auto" w:sz="0" w:space="0"/>
          <w:shd w:val="clear" w:fill="FFFFFF"/>
          <w:vertAlign w:val="baseline"/>
        </w:rPr>
        <w:t>sandbox:///mnt/agents/output/process_domestic_lifecycle.png</w: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end"/>
      </w:r>
    </w:p>
    <w:p w14:paraId="42E0C4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流程说明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6F242CC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89A4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前置风控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：风险评估 → 商标检索 → 补充布局申请</w:t>
      </w:r>
    </w:p>
    <w:p w14:paraId="3E21DDD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F0B89C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44D07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申请注册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：新申请提交 → 形式/实质审查 → 初审公告</w:t>
      </w:r>
    </w:p>
    <w:p w14:paraId="3721C4C4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0E1C45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633A4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驳回分支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：审查被驳回 → 驳回案件处理 → 行政诉讼（可选）</w:t>
      </w:r>
    </w:p>
    <w:p w14:paraId="321B62C7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8AF9327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6B22A2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主动争议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：初审公告后主动发起异议/无效/撤三</w:t>
      </w:r>
    </w:p>
    <w:p w14:paraId="3D96FBA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90A67C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7373C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被动争议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：被他人异议/撤三/无效 → 答辩 → 不予注册复审 → 行政诉讼</w:t>
      </w:r>
    </w:p>
    <w:p w14:paraId="1821DA1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E8C0DD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1DDFA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维护管理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：注册成功后进入续展、变转续、使用证据、手续文件管理</w:t>
      </w:r>
    </w:p>
    <w:p w14:paraId="5C64C73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4CF8E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5.2 海外商标业务流程</w:t>
      </w:r>
    </w:p>
    <w:p w14:paraId="1272C7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instrText xml:space="preserve"> HYPERLINK "sandbox:///mnt/agents/output/process_overseas.png" \t "https://www.kimi.com/chat/_blank"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sz w:val="14"/>
          <w:szCs w:val="14"/>
          <w:u w:val="none"/>
          <w:bdr w:val="none" w:color="auto" w:sz="0" w:space="0"/>
          <w:shd w:val="clear" w:fill="FFFFFF"/>
          <w:vertAlign w:val="baseline"/>
        </w:rPr>
        <w:t>sandbox:///mnt/agents/output/process_overseas.png</w: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end"/>
      </w:r>
    </w:p>
    <w:p w14:paraId="666352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流程说明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0C2F980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ADB9D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双轨并行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：单一国家申请 与 马德里国际申请 两种途径独立管理</w:t>
      </w:r>
    </w:p>
    <w:p w14:paraId="0A6672C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AAA615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FC879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马德里特殊流程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：基础申请 → WIPO审查 → 指定国审查 → 各国决定</w:t>
      </w:r>
    </w:p>
    <w:p w14:paraId="2B9DD4F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434B8E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D3F93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海外公共支撑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：多币种费用、国外合作所管理、官方文件翻译、各国时效差异配置</w:t>
      </w:r>
    </w:p>
    <w:p w14:paraId="04F934E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616B1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5.3 跨角色协作流程（以驳回复审为例）</w:t>
      </w:r>
    </w:p>
    <w:p w14:paraId="62E19E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instrText xml:space="preserve"> HYPERLINK "sandbox:///mnt/agents/output/process_collaboration.png" \t "https://www.kimi.com/chat/_blank"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sz w:val="14"/>
          <w:szCs w:val="14"/>
          <w:u w:val="none"/>
          <w:bdr w:val="none" w:color="auto" w:sz="0" w:space="0"/>
          <w:shd w:val="clear" w:fill="FFFFFF"/>
          <w:vertAlign w:val="baseline"/>
        </w:rPr>
        <w:t>sandbox:///mnt/agents/output/process_collaboration.png</w: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end"/>
      </w:r>
    </w:p>
    <w:p w14:paraId="41BBBA5B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6"/>
          <w:bottom w:val="none" w:color="auto" w:sz="0" w:space="0"/>
          <w:right w:val="single" w:color="auto" w:sz="2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2"/>
        <w:gridCol w:w="2020"/>
        <w:gridCol w:w="2895"/>
        <w:gridCol w:w="1880"/>
      </w:tblGrid>
      <w:tr w14:paraId="1927E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6C1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62C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法务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5B0D4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流程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7CEAF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律所</w:t>
            </w:r>
          </w:p>
        </w:tc>
      </w:tr>
      <w:tr w14:paraId="57A54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6F6E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立案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126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决策是否复审，选择代理律所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8DD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创建复审案件，关联原申请案，生成商标ID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312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接收委托邀请，确认收案</w:t>
            </w:r>
          </w:p>
        </w:tc>
      </w:tr>
      <w:tr w14:paraId="20455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28C9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准备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E6C2F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审核律所策略建议，在线批注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338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跟踪材料准备进度，监控官方绝限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D57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撰写复审理由书，上传初稿</w:t>
            </w:r>
          </w:p>
        </w:tc>
      </w:tr>
      <w:tr w14:paraId="0F98B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D7F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提交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636C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确认最终版本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9CF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确认官方提交，录入受理信息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7E1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提交至商评委</w:t>
            </w:r>
          </w:p>
        </w:tc>
      </w:tr>
      <w:tr w14:paraId="54BFD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66DB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审查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8C0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评估裁定结果，决策是否诉讼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E86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跟踪评审进度，更新流程节点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BD31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反馈官方审查意见</w:t>
            </w:r>
          </w:p>
        </w:tc>
      </w:tr>
      <w:tr w14:paraId="0FA3F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609E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结案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3712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确认结案，评价律所服务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819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归档案件文件，触发后续流程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FAF5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提交结案报告</w:t>
            </w:r>
          </w:p>
        </w:tc>
      </w:tr>
    </w:tbl>
    <w:p w14:paraId="228972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5.4 费用管控全流程</w:t>
      </w:r>
    </w:p>
    <w:p w14:paraId="027FD6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instrText xml:space="preserve"> HYPERLINK "sandbox:///mnt/agents/output/process_cost_control.png" \t "https://www.kimi.com/chat/_blank"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sz w:val="14"/>
          <w:szCs w:val="14"/>
          <w:u w:val="none"/>
          <w:bdr w:val="none" w:color="auto" w:sz="0" w:space="0"/>
          <w:shd w:val="clear" w:fill="FFFFFF"/>
          <w:vertAlign w:val="baseline"/>
        </w:rPr>
        <w:t>sandbox:///mnt/agents/output/process_cost_control.png</w:t>
      </w:r>
      <w:r>
        <w:rPr>
          <w:rFonts w:hint="default" w:ascii="Segoe UI" w:hAnsi="Segoe UI" w:eastAsia="Segoe UI" w:cs="Segoe UI"/>
          <w:i w:val="0"/>
          <w:iCs w:val="0"/>
          <w:caps w:val="0"/>
          <w:color w:val="1783FF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end"/>
      </w:r>
    </w:p>
    <w:p w14:paraId="254B5F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流程链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：预算编制 → 案件执行（官费+代理费实时归集） → 账单导入（OCR识别+自动匹配） → 付款审批（多级审批+飞书同步） → 费用分析（ROI+律所对比）</w:t>
      </w:r>
    </w:p>
    <w:p w14:paraId="5ADC95D9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8B1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3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六、非功能需求</w:t>
      </w:r>
    </w:p>
    <w:p w14:paraId="59CDCB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6.1 性能需求</w:t>
      </w:r>
    </w:p>
    <w:p w14:paraId="22FC1A9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9941F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页面首屏加载 ≤ 2秒，复杂报表查询 ≤ 5秒</w:t>
      </w:r>
    </w:p>
    <w:p w14:paraId="56A6693D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119C553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537A8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支持单租户10万+商标数据量下流畅检索与图谱渲染</w:t>
      </w:r>
    </w:p>
    <w:p w14:paraId="5AE4CD92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6252F83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0472C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文件上传支持单文件500MB，支持断点续传</w:t>
      </w:r>
    </w:p>
    <w:p w14:paraId="7C789D0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C0D89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6.2 安全与合规</w:t>
      </w:r>
    </w:p>
    <w:p w14:paraId="044624D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A87A9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数据隔离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：多租户SaaS架构，律所门户数据严格隔离</w:t>
      </w:r>
    </w:p>
    <w:p w14:paraId="79E161A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ECC464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63542F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权限控制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：RBAC模型，支持数据范围权限（如A法务仅可见A事业部商标）</w:t>
      </w:r>
    </w:p>
    <w:p w14:paraId="0F6E427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87B6BB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01368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操作审计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：案件关键字段修改、文件下载、数据导出全留痕</w:t>
      </w:r>
    </w:p>
    <w:p w14:paraId="72D55F8C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EDF24D1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0F8F8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文件安全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：上传文件病毒扫描、敏感信息（身份证号、银行账号）检测与脱敏</w:t>
      </w:r>
    </w:p>
    <w:p w14:paraId="2888308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91F4B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6.3 可靠性需求</w:t>
      </w:r>
    </w:p>
    <w:p w14:paraId="187C4B7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CCFD1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系统可用性 ≥ 99.9%</w:t>
      </w:r>
    </w:p>
    <w:p w14:paraId="4628AF0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BFD6BD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0778D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期限提醒任务需有补偿机制（失败重试+兜底邮件）</w:t>
      </w:r>
    </w:p>
    <w:p w14:paraId="471BC305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15F20A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D5799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数据每日自动备份，保留30天</w:t>
      </w:r>
    </w:p>
    <w:p w14:paraId="1C3A5CD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FEE88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6.4 集成需求</w:t>
      </w:r>
    </w:p>
    <w:p w14:paraId="453965C5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6"/>
          <w:bottom w:val="none" w:color="auto" w:sz="0" w:space="0"/>
          <w:right w:val="single" w:color="auto" w:sz="2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80"/>
        <w:gridCol w:w="2300"/>
        <w:gridCol w:w="622"/>
      </w:tblGrid>
      <w:tr w14:paraId="77F46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BB2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集成系统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6225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集成内容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EB5E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6584F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474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中国商标局官方数据库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AB96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商标状态、流程、官文信息同步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355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15EFF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C56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摩知轮等第三方商标数据库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E73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检索数据补充、监控预警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E068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2499C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6699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WIPO马德里体系API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BE9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国际注册状态同步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FA2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142C2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C90ED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飞书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ADE9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审批流接入、消息推送、日程同步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5E3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1F381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FC7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企业微信/钉钉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1FB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消息推送（备选）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5B2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P2</w:t>
            </w:r>
          </w:p>
        </w:tc>
      </w:tr>
      <w:tr w14:paraId="170A5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0A9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电子签章系统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8A6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委托书、共存协议在线签署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70D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2F446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9EF0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OCR引擎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981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官文识别、账单识别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B68E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478CC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E6B4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邮件系统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BFB5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邮件发送与接收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4F67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P0</w:t>
            </w:r>
          </w:p>
        </w:tc>
      </w:tr>
    </w:tbl>
    <w:p w14:paraId="351A71C7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sz w:val="24"/>
          <w:szCs w:val="24"/>
        </w:rP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50A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3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七、数据需求</w:t>
      </w:r>
    </w:p>
    <w:p w14:paraId="3387B6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7.1 核心实体关系</w:t>
      </w:r>
    </w:p>
    <w:p w14:paraId="7A51C35D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none" w:color="auto" w:sz="0" w:space="0"/>
          <w:right w:val="single" w:color="auto" w:sz="2" w:space="4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plain</w:t>
      </w:r>
    </w:p>
    <w:p w14:paraId="5D8ABBBC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2"/>
          <w:bottom w:val="none" w:color="auto" w:sz="0" w:space="0"/>
          <w:right w:val="single" w:color="auto" w:sz="2" w:space="2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69DAD9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客户/业务单元</w:t>
      </w:r>
    </w:p>
    <w:p w14:paraId="3FF738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 xml:space="preserve"> ├── 品牌线</w:t>
      </w:r>
    </w:p>
    <w:p w14:paraId="58D4C1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 xml:space="preserve"> │    └── 商标（商标ID唯一主键）</w:t>
      </w:r>
    </w:p>
    <w:p w14:paraId="3FC95B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 xml:space="preserve"> │         ├── 官方数据（申请号、图样、类别、状态、有效期）</w:t>
      </w:r>
    </w:p>
    <w:p w14:paraId="121C29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 xml:space="preserve"> │         ├── 案件（国内/海外、申请/复审/异议/诉讼...）</w:t>
      </w:r>
    </w:p>
    <w:p w14:paraId="20C83D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 xml:space="preserve"> │         │    ├── 流程节点</w:t>
      </w:r>
    </w:p>
    <w:p w14:paraId="728A84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 xml:space="preserve"> │         │    ├── 期限（官方/内部/客户）</w:t>
      </w:r>
    </w:p>
    <w:p w14:paraId="1E9AD6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 xml:space="preserve"> │         │    ├── 文档（官文/理由书/证据）</w:t>
      </w:r>
    </w:p>
    <w:p w14:paraId="0F4A66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 xml:space="preserve"> │         │    └── 费用（预算/账单/付款）</w:t>
      </w:r>
    </w:p>
    <w:p w14:paraId="16D850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 xml:space="preserve"> │         ├── 使用证据（按年度归集）</w:t>
      </w:r>
    </w:p>
    <w:p w14:paraId="29C6C9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 xml:space="preserve"> │         └── 律所协作记录</w:t>
      </w:r>
    </w:p>
    <w:p w14:paraId="36AB9B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 xml:space="preserve"> └── 供应商（律所）</w:t>
      </w:r>
    </w:p>
    <w:p w14:paraId="7BA12A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 xml:space="preserve">      ├── 委托案件</w:t>
      </w:r>
    </w:p>
    <w:p w14:paraId="5D026F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 xml:space="preserve">      ├── 服务评价</w:t>
      </w:r>
    </w:p>
    <w:p w14:paraId="1AF427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Fonts w:ascii="Consolas" w:hAnsi="Consolas" w:eastAsia="Consolas" w:cs="Consolas"/>
          <w:color w:val="1A1A1A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 xml:space="preserve">      └── 账单/付款记录</w:t>
      </w:r>
    </w:p>
    <w:p w14:paraId="5EFB5F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7.2 关键数据字段</w:t>
      </w:r>
    </w:p>
    <w:p w14:paraId="34409C51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6"/>
          <w:bottom w:val="none" w:color="auto" w:sz="0" w:space="0"/>
          <w:right w:val="single" w:color="auto" w:sz="2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6"/>
        <w:gridCol w:w="6615"/>
        <w:gridCol w:w="1445"/>
      </w:tblGrid>
      <w:tr w14:paraId="14DF3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B8B1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实体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F6F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核心字段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3BC3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6D0E1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606D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商标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AEB1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商标ID、申请号、注册号、商标名称、图样URL、尼斯分类、商品服务、申请人、状态、申请日、注册日、有效期至、品牌线、资产等级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E48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商标ID为系统内唯一主键</w:t>
            </w:r>
          </w:p>
        </w:tc>
      </w:tr>
      <w:tr w14:paraId="20C52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FC8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案件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CC1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案件编号、案件类型、关联商标ID、父案件ID、客户、代理律所、法务负责人、流程负责人、当前节点、案件状态、创建日、结案日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7C2B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父子案关联实现流程串联</w:t>
            </w:r>
          </w:p>
        </w:tc>
      </w:tr>
      <w:tr w14:paraId="6AB27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71C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期限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BD9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期限ID、关联案件ID、期限类型（官方/内部/客户）、到期日、剩余工作日、预警级别、责任人、完成状态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B2C7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自动计算工作日</w:t>
            </w:r>
          </w:p>
        </w:tc>
      </w:tr>
      <w:tr w14:paraId="32941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DEC3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文档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7B33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文档ID、关联案件ID、文档类型、文件URL、OCR识别结果、上传人、上传时间、版本号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DACA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版本控制</w:t>
            </w:r>
          </w:p>
        </w:tc>
      </w:tr>
      <w:tr w14:paraId="772DA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D88D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费用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2BB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费用ID、关联案件ID、费用类型（官费/代理费/其他）、金额、币种、律所、账单状态、付款状态、预算归属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B0D1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多币种支持</w:t>
            </w:r>
          </w:p>
        </w:tc>
      </w:tr>
    </w:tbl>
    <w:p w14:paraId="4220B74E"/>
    <w:p w14:paraId="71D43CCD"/>
    <w:p w14:paraId="23C852ED">
      <w:pPr>
        <w:shd w:val="clear" w:fill="D7D7D7" w:themeFill="background1" w:themeFillShade="D8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原型图方案说明：</w:t>
      </w:r>
    </w:p>
    <w:p w14:paraId="68C70D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菜单设置：</w:t>
      </w:r>
    </w:p>
    <w:p w14:paraId="45509BA1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一级菜单：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个人中心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，其中二级菜单：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仪表盘、待办事项、已办事项、我的案件、抄送案件、我的草稿、</w:t>
      </w:r>
    </w:p>
    <w:p w14:paraId="2ED07CAB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一级菜单：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管理中心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，其中二级菜单：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案件管理中心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，其中三级菜单：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国内案件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，其中四级菜单：</w:t>
      </w:r>
    </w:p>
    <w:p w14:paraId="400AAE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风险评估</w:t>
      </w:r>
    </w:p>
    <w:p w14:paraId="03D5FE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新申请</w:t>
      </w:r>
    </w:p>
    <w:p w14:paraId="3AD39D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驳回案件</w:t>
      </w:r>
    </w:p>
    <w:p w14:paraId="7BC159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异议/无效案件</w:t>
      </w:r>
    </w:p>
    <w:p w14:paraId="56DCDD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撤销案件</w:t>
      </w:r>
    </w:p>
    <w:p w14:paraId="242B22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诉讼案件</w:t>
      </w:r>
    </w:p>
    <w:p w14:paraId="5BE094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使用证据/宣誓</w:t>
      </w:r>
    </w:p>
    <w:p w14:paraId="3A14EC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变转续补正限缩</w:t>
      </w:r>
    </w:p>
    <w:p w14:paraId="1CD02F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商标续展</w:t>
      </w:r>
    </w:p>
    <w:p w14:paraId="4CCD7D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维权相关</w:t>
      </w:r>
    </w:p>
    <w:p w14:paraId="46A30F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手续文件</w:t>
      </w:r>
    </w:p>
    <w:p w14:paraId="73F0A2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共存/和解谈判</w:t>
      </w:r>
    </w:p>
    <w:p w14:paraId="110A77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特殊类型</w:t>
      </w:r>
    </w:p>
    <w:p w14:paraId="7EE5B1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案件管理中心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，其中三级菜单：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海外案件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，其中四级菜单：</w:t>
      </w:r>
    </w:p>
    <w:p w14:paraId="2FDF8B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单一申请</w:t>
      </w:r>
    </w:p>
    <w:p w14:paraId="067673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马德里申请</w:t>
      </w:r>
    </w:p>
    <w:p w14:paraId="5EAB51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风险评估</w:t>
      </w:r>
    </w:p>
    <w:p w14:paraId="2BF6DB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驳回案件</w:t>
      </w:r>
    </w:p>
    <w:p w14:paraId="5CCA60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异议/无效案件</w:t>
      </w:r>
    </w:p>
    <w:p w14:paraId="5F3F90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撤销案件</w:t>
      </w:r>
    </w:p>
    <w:p w14:paraId="5F488B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诉讼案件</w:t>
      </w:r>
    </w:p>
    <w:p w14:paraId="3686AA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使用证据/宣誓</w:t>
      </w:r>
    </w:p>
    <w:p w14:paraId="68B901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变转续补正限缩</w:t>
      </w:r>
    </w:p>
    <w:p w14:paraId="33BCC4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商标续展</w:t>
      </w:r>
    </w:p>
    <w:p w14:paraId="262D90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维权相关</w:t>
      </w:r>
    </w:p>
    <w:p w14:paraId="5D9C09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手续文件</w:t>
      </w:r>
    </w:p>
    <w:p w14:paraId="014895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共存/和解谈判</w:t>
      </w:r>
    </w:p>
    <w:p w14:paraId="1192B4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特殊类型</w:t>
      </w:r>
    </w:p>
    <w:p w14:paraId="4E41E027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一级菜单：管理中心，其中二级菜单：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品牌管理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，其中三级菜单：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内部品牌</w:t>
      </w:r>
    </w:p>
    <w:p w14:paraId="3DAD0F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商标购买</w:t>
      </w:r>
    </w:p>
    <w:p w14:paraId="71B1DB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商标许可</w:t>
      </w:r>
    </w:p>
    <w:p w14:paraId="7EA4E8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商标放弃</w:t>
      </w:r>
    </w:p>
    <w:p w14:paraId="249684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商标续展</w:t>
      </w:r>
    </w:p>
    <w:p w14:paraId="0B416A1A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一级菜单：管理中心，其中二级菜单：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品牌管理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，其中三级菜单：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外部合作</w:t>
      </w:r>
    </w:p>
    <w:p w14:paraId="7A47AE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授权他方</w:t>
      </w:r>
    </w:p>
    <w:p w14:paraId="382B16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他方授权</w:t>
      </w:r>
    </w:p>
    <w:p w14:paraId="6C1EC4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品牌库图谱</w:t>
      </w:r>
    </w:p>
    <w:p w14:paraId="6A53F67A">
      <w:pPr>
        <w:keepNext w:val="0"/>
        <w:keepLines w:val="0"/>
        <w:widowControl/>
        <w:suppressLineNumbers w:val="0"/>
        <w:ind w:left="0" w:firstLine="420"/>
        <w:jc w:val="left"/>
      </w:pPr>
    </w:p>
    <w:p w14:paraId="0FAC76E2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一级菜单：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律所协作中心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，其中二级菜单：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咨询/沟通、文件交互、流程沟通、</w:t>
      </w:r>
      <w:r>
        <w:rPr>
          <w:rFonts w:ascii="宋体" w:hAnsi="宋体" w:eastAsia="宋体" w:cs="宋体"/>
          <w:color w:val="245BDB"/>
          <w:kern w:val="0"/>
          <w:sz w:val="24"/>
          <w:szCs w:val="24"/>
          <w:lang w:val="en-US" w:eastAsia="zh-CN" w:bidi="ar"/>
        </w:rPr>
        <w:t>官文期限总览</w:t>
      </w:r>
    </w:p>
    <w:p w14:paraId="61D3A870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一级菜单：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费用中心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，其中二级菜单：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账单导入、费用总览、付款审批、费用分析</w:t>
      </w:r>
    </w:p>
    <w:p w14:paraId="16AD69A9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一级菜单：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管理决策中心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，其中二级菜单：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商标全局视图、品牌风险地图、律所管理、费用管理、案件智能分析</w:t>
      </w:r>
    </w:p>
    <w:p w14:paraId="323A74D5">
      <w:pPr>
        <w:keepNext w:val="0"/>
        <w:keepLines w:val="0"/>
        <w:widowControl/>
        <w:suppressLineNumbers w:val="0"/>
        <w:jc w:val="left"/>
      </w:pPr>
    </w:p>
    <w:p w14:paraId="008A1554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color w:val="245BDB"/>
          <w:kern w:val="0"/>
          <w:sz w:val="24"/>
          <w:szCs w:val="24"/>
          <w:lang w:val="en-US" w:eastAsia="zh-CN" w:bidi="ar"/>
        </w:rPr>
        <w:t>一级菜单：监测中心，其中二级菜单：</w:t>
      </w:r>
    </w:p>
    <w:p w14:paraId="5506CA63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color w:val="245BDB"/>
          <w:kern w:val="0"/>
          <w:sz w:val="24"/>
          <w:szCs w:val="24"/>
          <w:lang w:val="en-US" w:eastAsia="zh-CN" w:bidi="ar"/>
        </w:rPr>
        <w:t>商标监测</w:t>
      </w:r>
    </w:p>
    <w:p w14:paraId="10542950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color w:val="245BDB"/>
          <w:kern w:val="0"/>
          <w:sz w:val="24"/>
          <w:szCs w:val="24"/>
          <w:lang w:val="en-US" w:eastAsia="zh-CN" w:bidi="ar"/>
        </w:rPr>
        <w:t>主体监测</w:t>
      </w:r>
    </w:p>
    <w:p w14:paraId="00993ECE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color w:val="245BDB"/>
          <w:kern w:val="0"/>
          <w:sz w:val="24"/>
          <w:szCs w:val="24"/>
          <w:lang w:val="en-US" w:eastAsia="zh-CN" w:bidi="ar"/>
        </w:rPr>
        <w:t>重点案件监测</w:t>
      </w:r>
    </w:p>
    <w:p w14:paraId="6A432699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color w:val="245BDB"/>
          <w:kern w:val="0"/>
          <w:sz w:val="24"/>
          <w:szCs w:val="24"/>
          <w:lang w:val="en-US" w:eastAsia="zh-CN" w:bidi="ar"/>
        </w:rPr>
        <w:t>异议监测</w:t>
      </w:r>
    </w:p>
    <w:p w14:paraId="49610375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color w:val="245BDB"/>
          <w:kern w:val="0"/>
          <w:sz w:val="24"/>
          <w:szCs w:val="24"/>
          <w:lang w:val="en-US" w:eastAsia="zh-CN" w:bidi="ar"/>
        </w:rPr>
        <w:t>一级菜单：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商标工具Link</w:t>
      </w:r>
    </w:p>
    <w:p w14:paraId="1612AB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海外检索fovea</w:t>
      </w:r>
    </w:p>
    <w:p w14:paraId="3BD86F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国内检索摩知轮</w:t>
      </w:r>
    </w:p>
    <w:p w14:paraId="428CDE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商标局官网</w:t>
      </w:r>
    </w:p>
    <w:p w14:paraId="5B511D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wipo官网</w:t>
      </w:r>
    </w:p>
    <w:p w14:paraId="414531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dartsip案例库</w:t>
      </w:r>
    </w:p>
    <w:p w14:paraId="5527A8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</w:t>
      </w:r>
      <w:r>
        <w:rPr>
          <w:rFonts w:ascii="宋体" w:hAnsi="宋体" w:eastAsia="宋体" w:cs="宋体"/>
          <w:color w:val="245BDB"/>
          <w:kern w:val="0"/>
          <w:sz w:val="24"/>
          <w:szCs w:val="24"/>
          <w:lang w:val="en-US" w:eastAsia="zh-CN" w:bidi="ar"/>
        </w:rPr>
        <w:t>小米知库</w:t>
      </w:r>
    </w:p>
    <w:p w14:paraId="5A6A5516">
      <w:pPr>
        <w:rPr>
          <w:rFonts w:hint="default"/>
          <w:lang w:val="en-US" w:eastAsia="zh-CN"/>
        </w:rPr>
      </w:pPr>
    </w:p>
    <w:p w14:paraId="0AA9F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原型图，首页</w:t>
      </w:r>
      <w:bookmarkStart w:id="0" w:name="_GoBack"/>
      <w:bookmarkEnd w:id="0"/>
      <w:r>
        <w:rPr>
          <w:rFonts w:hint="eastAsia"/>
          <w:lang w:val="en-US" w:eastAsia="zh-CN"/>
        </w:rPr>
        <w:t>参考：</w:t>
      </w:r>
    </w:p>
    <w:p w14:paraId="26F2BF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4625" cy="6126480"/>
            <wp:effectExtent l="0" t="0" r="3175" b="7620"/>
            <wp:docPr id="4" name="图片 4" descr="草稿-mi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草稿-mip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7C8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1D08DE"/>
    <w:multiLevelType w:val="multilevel"/>
    <w:tmpl w:val="961D08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902E05B"/>
    <w:multiLevelType w:val="multilevel"/>
    <w:tmpl w:val="9902E0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13B0959"/>
    <w:multiLevelType w:val="multilevel"/>
    <w:tmpl w:val="A13B09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B909FAD"/>
    <w:multiLevelType w:val="multilevel"/>
    <w:tmpl w:val="AB909F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3EF5CC1"/>
    <w:multiLevelType w:val="multilevel"/>
    <w:tmpl w:val="B3EF5C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C071FD33"/>
    <w:multiLevelType w:val="multilevel"/>
    <w:tmpl w:val="C071FD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16214F0"/>
    <w:multiLevelType w:val="multilevel"/>
    <w:tmpl w:val="C16214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CD35D4C6"/>
    <w:multiLevelType w:val="multilevel"/>
    <w:tmpl w:val="CD35D4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D0C862CE"/>
    <w:multiLevelType w:val="multilevel"/>
    <w:tmpl w:val="D0C862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DA4339FC"/>
    <w:multiLevelType w:val="multilevel"/>
    <w:tmpl w:val="DA433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ED2F07F0"/>
    <w:multiLevelType w:val="multilevel"/>
    <w:tmpl w:val="ED2F07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ED50D42B"/>
    <w:multiLevelType w:val="multilevel"/>
    <w:tmpl w:val="ED50D4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028C8798"/>
    <w:multiLevelType w:val="multilevel"/>
    <w:tmpl w:val="028C87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0DA4ED1C"/>
    <w:multiLevelType w:val="multilevel"/>
    <w:tmpl w:val="0DA4ED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105FAEB2"/>
    <w:multiLevelType w:val="multilevel"/>
    <w:tmpl w:val="105FAE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159B01AF"/>
    <w:multiLevelType w:val="multilevel"/>
    <w:tmpl w:val="159B0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1BF5620A"/>
    <w:multiLevelType w:val="multilevel"/>
    <w:tmpl w:val="1BF562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1D6F5983"/>
    <w:multiLevelType w:val="multilevel"/>
    <w:tmpl w:val="1D6F59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20F771BF"/>
    <w:multiLevelType w:val="multilevel"/>
    <w:tmpl w:val="20F771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21D4F417"/>
    <w:multiLevelType w:val="multilevel"/>
    <w:tmpl w:val="21D4F4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67AE5EFC"/>
    <w:multiLevelType w:val="multilevel"/>
    <w:tmpl w:val="67AE5E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7BFC0433"/>
    <w:multiLevelType w:val="multilevel"/>
    <w:tmpl w:val="7BFC04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7DD56873"/>
    <w:multiLevelType w:val="multilevel"/>
    <w:tmpl w:val="7DD568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3"/>
  </w:num>
  <w:num w:numId="3">
    <w:abstractNumId w:val="12"/>
  </w:num>
  <w:num w:numId="4">
    <w:abstractNumId w:val="2"/>
  </w:num>
  <w:num w:numId="5">
    <w:abstractNumId w:val="4"/>
  </w:num>
  <w:num w:numId="6">
    <w:abstractNumId w:val="20"/>
  </w:num>
  <w:num w:numId="7">
    <w:abstractNumId w:val="7"/>
  </w:num>
  <w:num w:numId="8">
    <w:abstractNumId w:val="19"/>
  </w:num>
  <w:num w:numId="9">
    <w:abstractNumId w:val="16"/>
  </w:num>
  <w:num w:numId="10">
    <w:abstractNumId w:val="8"/>
  </w:num>
  <w:num w:numId="11">
    <w:abstractNumId w:val="1"/>
  </w:num>
  <w:num w:numId="12">
    <w:abstractNumId w:val="11"/>
  </w:num>
  <w:num w:numId="13">
    <w:abstractNumId w:val="17"/>
  </w:num>
  <w:num w:numId="14">
    <w:abstractNumId w:val="22"/>
  </w:num>
  <w:num w:numId="15">
    <w:abstractNumId w:val="9"/>
  </w:num>
  <w:num w:numId="16">
    <w:abstractNumId w:val="10"/>
  </w:num>
  <w:num w:numId="17">
    <w:abstractNumId w:val="13"/>
  </w:num>
  <w:num w:numId="18">
    <w:abstractNumId w:val="14"/>
  </w:num>
  <w:num w:numId="19">
    <w:abstractNumId w:val="5"/>
  </w:num>
  <w:num w:numId="20">
    <w:abstractNumId w:val="18"/>
  </w:num>
  <w:num w:numId="21">
    <w:abstractNumId w:val="15"/>
  </w:num>
  <w:num w:numId="22">
    <w:abstractNumId w:val="21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C2390"/>
    <w:rsid w:val="375C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2026-05-03T16:42:00Z</dcterms:created>
  <dc:creator>Xiaomi Missy Feng</dc:creator>
  <cp:lastModifiedBy>Xiaomi Missy Feng</cp:lastModifiedBy>
  <dcterms:modified xsi:type="dcterms:W3CDTF">2026-05-03T17:31:28Z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1A434AF6A3984FF5AD249B60D36BE65B_11</vt:lpwstr>
  </property>
  <property fmtid="{D5CDD505-2E9C-101B-9397-08002B2CF9AE}" pid="4" name="KSOTemplateDocerSaveRecord">
    <vt:lpwstr>eyJoZGlkIjoiMzEwNTM5NzYwMDRjMzkwZTVkZjY2ODkwMGIxNGU0OTUiLCJ1c2VySWQiOiI4OTk2Mjg4In0=</vt:lpwstr>
  </property>
</Properties>
</file>