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商标系统- 业务流程梳理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用户流程图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律所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业务全景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【模块】案件管理中心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315"/>
        <w:gridCol w:w="406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技术亮点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案件创建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模板化创建，自动关联商标资产与历史案件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智能继承相似案件信息</w:t>
              <w:br/>
              <w:t>- 案件建档： 一键生成唯一的“商标ID”，关联品牌系列。必填字段包括：申请号、商标图样、类别、商品项、申请日、优先权日等。</w:t>
              <w:br/>
            </w:r>
            <w:r>
              <w:rPr>
                <w:rFonts w:eastAsia="等线" w:ascii="Arial" w:cs="Arial" w:hAnsi="Arial"/>
                <w:sz w:val="22"/>
              </w:rPr>
              <w:t>- 案件类型字段：项目、检索、申请、争议冲突、诉讼、第三方、其他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流程配置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可视化流程设计器，适配不同案件类型与律所协作模式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拖拽式节点配置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流程节点看板： 可视化展示案件进度（申请中 -&gt; 审查中 -&gt; 初审公告 -&gt; 注册公告 -&gt; 续展）。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期限管理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三重期限管控：官方绝限→内部期限→客户期限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自动计算工作日，避开节假日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自动提前生成任务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任务分派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内部任务分配与外部律所委托一体化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邮件+站内信双重提醒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文档管理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案件文件树结构，支持版本控制与在线预览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OCR识别官文关键信息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文件云库： 自动关联该案件所有历史文件（商标注册证、驳回通知书、异议申请书、缴费凭证），支持在线预览及版本管理。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进度追踪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甘特图展示案件里程碑，实时同步官方状态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API对接商标局、摩知轮等数据库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【模块】法律事务中心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015"/>
        <w:gridCol w:w="369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技术亮点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商标检索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商标申请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主动冲突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补充布局申请（国内）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主动冲突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被动冲突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商标诉讼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续展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变、转、许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POA (国内、海外)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使用证据/宣誓书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公认证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共存和解购买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调查报告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【模块】律所协作中心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3585"/>
        <w:gridCol w:w="37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价值点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律所门户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为每家合作律所开设独立工作空间，数据隔离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保护商业机密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在线委托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标准化委托单，并在线进行法律咨询，在线确认收案与报价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减少沟通成本</w:t>
              <w:br/>
            </w:r>
            <w:r>
              <w:rPr>
                <w:rFonts w:eastAsia="等线" w:ascii="Arial" w:cs="Arial" w:hAnsi="Arial"/>
                <w:sz w:val="22"/>
              </w:rPr>
              <w:t>- 流程手续： 律所提供的委托书、公认证文件，系统下发给小米，直接由流程处理并抄送法务，由律所直接审核扫描版本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文件传输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案件文件安全传输，支持大文件批量上传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替代邮件附件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进度同步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律所实时更新案件进展，企业内部可见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信息透明化</w:t>
              <w:br/>
            </w:r>
            <w:r>
              <w:rPr>
                <w:rFonts w:eastAsia="等线" w:ascii="Arial" w:cs="Arial" w:hAnsi="Arial"/>
                <w:sz w:val="22"/>
              </w:rPr>
              <w:t>律所提交的理由书等文件，法务在线批注、驳回或通过，所有版本迭代记录在案。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质量评价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案件结束后对律所服务评分，积累供应商数据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优化供应商管理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知识沉淀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律所上传的法律意见、策略建议自动归档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构建企业知识库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【模块】</w:t>
      </w:r>
      <w:r>
        <w:rPr>
          <w:rFonts w:eastAsia="等线" w:ascii="Arial" w:cs="Arial" w:hAnsi="Arial"/>
          <w:b w:val="true"/>
          <w:sz w:val="30"/>
        </w:rPr>
        <w:t>费用中心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4035"/>
        <w:gridCol w:w="3285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管理价值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预算编制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年度/季度预算编制，按品牌线/地域/案件类型分解</w:t>
              <w:br/>
            </w:r>
            <w:r>
              <w:rPr>
                <w:rFonts w:eastAsia="等线" w:ascii="Arial" w:cs="Arial" w:hAnsi="Arial"/>
                <w:sz w:val="22"/>
              </w:rPr>
              <w:t>可导入各品牌/部门的商标预算（官费+代理费）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费用前置管控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账单导入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支持扫描/拍照上传律所账单，OCR识别关键信息（金额、案件号），自动匹配对应案件。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防止超支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账单管理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律所在线提交账单，OCR识别发票信息</w:t>
              <w:br/>
            </w:r>
            <w:r>
              <w:rPr>
                <w:rFonts w:eastAsia="等线" w:ascii="Arial" w:cs="Arial" w:hAnsi="Arial"/>
                <w:sz w:val="22"/>
              </w:rPr>
              <w:t>- 自动初步生成当月的费单情况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减少人工录入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付款审批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多级审批流，关联合同与验收状态</w:t>
              <w:br/>
            </w:r>
            <w:r>
              <w:rPr>
                <w:rFonts w:eastAsia="等线" w:ascii="Arial" w:cs="Arial" w:hAnsi="Arial"/>
                <w:sz w:val="22"/>
              </w:rPr>
              <w:t>- 接入飞书审批支付流追踪： 设置“待请款”、“已请款”、“财务已支付”三级状态。法务可随时查看某笔款项卡在哪个环节。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合规管控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年费监控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自动计算全球商标年费，生成缴费清单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防止漏缴导致失效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费用分析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多维度费用报表（按律所/按品牌/按国家/按案件类型）</w:t>
              <w:br/>
              <w:t>- 统计报表： 一键导出月度应付款清单、年度费用分析报表（按代理所排名、按类别排名）</w:t>
              <w:br/>
              <w:t>预算执行率分析</w:t>
              <w:br/>
              <w:t>律所费用对比分析（性价比评估）</w:t>
              <w:br/>
              <w:t>维护成本趋势（单件商标年均成本）</w:t>
              <w:br/>
            </w:r>
            <w:r>
              <w:rPr>
                <w:rFonts w:eastAsia="等线" w:ascii="Arial" w:cs="Arial" w:hAnsi="Arial"/>
                <w:sz w:val="22"/>
              </w:rPr>
              <w:t>ROI分析（商标投入vs品牌价值增长）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优化预算分配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【模块】</w:t>
      </w:r>
      <w:r>
        <w:rPr>
          <w:rFonts w:eastAsia="等线" w:ascii="Arial" w:cs="Arial" w:hAnsi="Arial"/>
          <w:b w:val="true"/>
          <w:sz w:val="30"/>
        </w:rPr>
        <w:t>管理决策中心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4635"/>
        <w:gridCol w:w="256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管理价值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全局视图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商标申请趋势、案量分析、成功率统计</w:t>
              <w:br/>
            </w:r>
            <w:r>
              <w:rPr>
                <w:rFonts w:eastAsia="等线" w:ascii="Arial" w:cs="Arial" w:hAnsi="Arial"/>
                <w:sz w:val="22"/>
              </w:rPr>
              <w:t>布局覆盖度、类别覆盖度、地域覆盖度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战略规划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效能分析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各律所代理成功率、平均审查周期、费用效率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供应商优化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风险地图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高风险商标地图、品牌图谱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风险管控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数智化决策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预算执行、律所效能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管理层汇报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品牌图谱功能具体维度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5475"/>
        <w:gridCol w:w="133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多维度分类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按品牌线/类别/地域/法律状态/业务单元多级分类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可视化图谱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45个类别的矩阵式布局展示，直观呈现保护缺口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智能检索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支持商标名称、申请人、类别、状态、代理所等多条件组合查询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资产分级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核心/重要/一般三级标签，关联不同审批流程与预算权限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功能全景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业务</w:t>
      </w:r>
      <w:r>
        <w:rPr>
          <w:rFonts w:eastAsia="等线" w:ascii="Arial" w:cs="Arial" w:hAnsi="Arial"/>
          <w:b w:val="true"/>
          <w:color w:val="245bdb"/>
          <w:sz w:val="32"/>
        </w:rPr>
        <w:t>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案件管理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法律事务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风险评估（国内、海外）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533775" cy="1790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商标申请（国内、海外）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286125" cy="2228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补充布局申请（国内）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驳回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10175" cy="1266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主动冲突（异议、无效、撤三）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异议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09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撤三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743450" cy="1552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无效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28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被动冲突（异议、无效、撤三）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答辩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8669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异议不予注册复审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29225" cy="1743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行政诉讼（驳回、撤三、无效异议）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续展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314825" cy="23145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变、转、许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POA (国内、海外)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使用证据/宣誓书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公认证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共存和解购买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调查报告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律所协作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费控流程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dashboard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系统架构图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1724">
    <w:lvl>
      <w:numFmt w:val="bullet"/>
      <w:suff w:val="tab"/>
      <w:lvlText w:val="•"/>
      <w:rPr>
        <w:color w:val="3370ff"/>
      </w:rPr>
    </w:lvl>
  </w:abstractNum>
  <w:abstractNum w:abstractNumId="691725">
    <w:lvl>
      <w:numFmt w:val="bullet"/>
      <w:suff w:val="tab"/>
      <w:lvlText w:val="•"/>
      <w:rPr>
        <w:color w:val="3370ff"/>
      </w:rPr>
    </w:lvl>
  </w:abstractNum>
  <w:abstractNum w:abstractNumId="691726">
    <w:lvl>
      <w:numFmt w:val="bullet"/>
      <w:suff w:val="tab"/>
      <w:lvlText w:val="•"/>
      <w:rPr>
        <w:color w:val="3370ff"/>
      </w:rPr>
    </w:lvl>
  </w:abstractNum>
  <w:abstractNum w:abstractNumId="691727">
    <w:lvl>
      <w:numFmt w:val="bullet"/>
      <w:suff w:val="tab"/>
      <w:lvlText w:val="•"/>
      <w:rPr>
        <w:color w:val="3370ff"/>
      </w:rPr>
    </w:lvl>
  </w:abstractNum>
  <w:abstractNum w:abstractNumId="691728">
    <w:lvl>
      <w:numFmt w:val="bullet"/>
      <w:suff w:val="tab"/>
      <w:lvlText w:val="•"/>
      <w:rPr>
        <w:color w:val="3370ff"/>
      </w:rPr>
    </w:lvl>
  </w:abstractNum>
  <w:abstractNum w:abstractNumId="691729">
    <w:lvl>
      <w:numFmt w:val="bullet"/>
      <w:suff w:val="tab"/>
      <w:lvlText w:val="•"/>
      <w:rPr>
        <w:color w:val="3370ff"/>
      </w:rPr>
    </w:lvl>
  </w:abstractNum>
  <w:abstractNum w:abstractNumId="691730">
    <w:lvl>
      <w:numFmt w:val="bullet"/>
      <w:suff w:val="tab"/>
      <w:lvlText w:val="•"/>
      <w:rPr>
        <w:color w:val="3370ff"/>
      </w:rPr>
    </w:lvl>
  </w:abstractNum>
  <w:abstractNum w:abstractNumId="691731">
    <w:lvl>
      <w:numFmt w:val="bullet"/>
      <w:suff w:val="tab"/>
      <w:lvlText w:val="•"/>
      <w:rPr>
        <w:color w:val="3370ff"/>
      </w:rPr>
    </w:lvl>
  </w:abstractNum>
  <w:abstractNum w:abstractNumId="691732">
    <w:lvl>
      <w:numFmt w:val="bullet"/>
      <w:suff w:val="tab"/>
      <w:lvlText w:val="•"/>
      <w:rPr>
        <w:color w:val="3370ff"/>
      </w:rPr>
    </w:lvl>
  </w:abstractNum>
  <w:abstractNum w:abstractNumId="691733">
    <w:lvl>
      <w:numFmt w:val="bullet"/>
      <w:suff w:val="tab"/>
      <w:lvlText w:val="•"/>
      <w:rPr>
        <w:color w:val="3370ff"/>
      </w:rPr>
    </w:lvl>
  </w:abstractNum>
  <w:abstractNum w:abstractNumId="691734">
    <w:lvl>
      <w:numFmt w:val="bullet"/>
      <w:suff w:val="tab"/>
      <w:lvlText w:val="•"/>
      <w:rPr>
        <w:color w:val="3370ff"/>
      </w:rPr>
    </w:lvl>
  </w:abstractNum>
  <w:abstractNum w:abstractNumId="691735">
    <w:lvl>
      <w:numFmt w:val="bullet"/>
      <w:suff w:val="tab"/>
      <w:lvlText w:val="•"/>
      <w:rPr>
        <w:color w:val="3370ff"/>
      </w:rPr>
    </w:lvl>
  </w:abstractNum>
  <w:abstractNum w:abstractNumId="691736">
    <w:lvl>
      <w:numFmt w:val="bullet"/>
      <w:suff w:val="tab"/>
      <w:lvlText w:val="•"/>
      <w:rPr>
        <w:color w:val="3370ff"/>
      </w:rPr>
    </w:lvl>
  </w:abstractNum>
  <w:abstractNum w:abstractNumId="691737">
    <w:lvl>
      <w:numFmt w:val="bullet"/>
      <w:suff w:val="tab"/>
      <w:lvlText w:val="•"/>
      <w:rPr>
        <w:color w:val="3370ff"/>
      </w:rPr>
    </w:lvl>
  </w:abstractNum>
  <w:abstractNum w:abstractNumId="691738">
    <w:lvl>
      <w:numFmt w:val="bullet"/>
      <w:suff w:val="tab"/>
      <w:lvlText w:val="•"/>
      <w:rPr>
        <w:color w:val="3370ff"/>
      </w:rPr>
    </w:lvl>
  </w:abstractNum>
  <w:abstractNum w:abstractNumId="691739">
    <w:lvl>
      <w:numFmt w:val="bullet"/>
      <w:suff w:val="tab"/>
      <w:lvlText w:val="•"/>
      <w:rPr>
        <w:color w:val="3370ff"/>
      </w:rPr>
    </w:lvl>
  </w:abstractNum>
  <w:abstractNum w:abstractNumId="691740">
    <w:lvl>
      <w:numFmt w:val="bullet"/>
      <w:suff w:val="tab"/>
      <w:lvlText w:val="•"/>
      <w:rPr>
        <w:color w:val="3370ff"/>
      </w:rPr>
    </w:lvl>
  </w:abstractNum>
  <w:abstractNum w:abstractNumId="691741">
    <w:lvl>
      <w:numFmt w:val="bullet"/>
      <w:suff w:val="tab"/>
      <w:lvlText w:val="•"/>
      <w:rPr>
        <w:color w:val="3370ff"/>
      </w:rPr>
    </w:lvl>
  </w:abstractNum>
  <w:abstractNum w:abstractNumId="691742">
    <w:lvl>
      <w:numFmt w:val="bullet"/>
      <w:suff w:val="tab"/>
      <w:lvlText w:val="￮"/>
      <w:rPr>
        <w:color w:val="3370ff"/>
      </w:rPr>
    </w:lvl>
  </w:abstractNum>
  <w:abstractNum w:abstractNumId="691743">
    <w:lvl>
      <w:numFmt w:val="bullet"/>
      <w:suff w:val="tab"/>
      <w:lvlText w:val="￮"/>
      <w:rPr>
        <w:color w:val="3370ff"/>
      </w:rPr>
    </w:lvl>
  </w:abstractNum>
  <w:abstractNum w:abstractNumId="691744">
    <w:lvl>
      <w:numFmt w:val="bullet"/>
      <w:suff w:val="tab"/>
      <w:lvlText w:val="￮"/>
      <w:rPr>
        <w:color w:val="3370ff"/>
      </w:rPr>
    </w:lvl>
  </w:abstractNum>
  <w:abstractNum w:abstractNumId="691745">
    <w:lvl>
      <w:numFmt w:val="bullet"/>
      <w:suff w:val="tab"/>
      <w:lvlText w:val="•"/>
      <w:rPr>
        <w:color w:val="3370ff"/>
      </w:rPr>
    </w:lvl>
  </w:abstractNum>
  <w:abstractNum w:abstractNumId="691746">
    <w:lvl>
      <w:numFmt w:val="bullet"/>
      <w:suff w:val="tab"/>
      <w:lvlText w:val="￮"/>
      <w:rPr>
        <w:color w:val="3370ff"/>
      </w:rPr>
    </w:lvl>
  </w:abstractNum>
  <w:abstractNum w:abstractNumId="691747">
    <w:lvl>
      <w:numFmt w:val="bullet"/>
      <w:suff w:val="tab"/>
      <w:lvlText w:val="￮"/>
      <w:rPr>
        <w:color w:val="3370ff"/>
      </w:rPr>
    </w:lvl>
  </w:abstractNum>
  <w:abstractNum w:abstractNumId="691748">
    <w:lvl>
      <w:numFmt w:val="bullet"/>
      <w:suff w:val="tab"/>
      <w:lvlText w:val="•"/>
      <w:rPr>
        <w:color w:val="3370ff"/>
      </w:rPr>
    </w:lvl>
  </w:abstractNum>
  <w:abstractNum w:abstractNumId="691749">
    <w:lvl>
      <w:numFmt w:val="bullet"/>
      <w:suff w:val="tab"/>
      <w:lvlText w:val="•"/>
      <w:rPr>
        <w:color w:val="3370ff"/>
      </w:rPr>
    </w:lvl>
  </w:abstractNum>
  <w:abstractNum w:abstractNumId="691750">
    <w:lvl>
      <w:numFmt w:val="bullet"/>
      <w:suff w:val="tab"/>
      <w:lvlText w:val="•"/>
      <w:rPr>
        <w:color w:val="3370ff"/>
      </w:rPr>
    </w:lvl>
  </w:abstractNum>
  <w:abstractNum w:abstractNumId="691751">
    <w:lvl>
      <w:numFmt w:val="bullet"/>
      <w:suff w:val="tab"/>
      <w:lvlText w:val="•"/>
      <w:rPr>
        <w:color w:val="3370ff"/>
      </w:rPr>
    </w:lvl>
  </w:abstractNum>
  <w:abstractNum w:abstractNumId="691752">
    <w:lvl>
      <w:numFmt w:val="bullet"/>
      <w:suff w:val="tab"/>
      <w:lvlText w:val="•"/>
      <w:rPr>
        <w:color w:val="3370ff"/>
      </w:rPr>
    </w:lvl>
  </w:abstractNum>
  <w:abstractNum w:abstractNumId="691753">
    <w:lvl>
      <w:numFmt w:val="bullet"/>
      <w:suff w:val="tab"/>
      <w:lvlText w:val="•"/>
      <w:rPr>
        <w:color w:val="3370ff"/>
      </w:rPr>
    </w:lvl>
  </w:abstractNum>
  <w:abstractNum w:abstractNumId="691754">
    <w:lvl>
      <w:numFmt w:val="bullet"/>
      <w:suff w:val="tab"/>
      <w:lvlText w:val="•"/>
      <w:rPr>
        <w:color w:val="3370ff"/>
      </w:rPr>
    </w:lvl>
  </w:abstractNum>
  <w:abstractNum w:abstractNumId="691755">
    <w:lvl>
      <w:numFmt w:val="bullet"/>
      <w:suff w:val="tab"/>
      <w:lvlText w:val="•"/>
      <w:rPr>
        <w:color w:val="3370ff"/>
      </w:rPr>
    </w:lvl>
  </w:abstractNum>
  <w:num w:numId="1">
    <w:abstractNumId w:val="691724"/>
  </w:num>
  <w:num w:numId="2">
    <w:abstractNumId w:val="691725"/>
  </w:num>
  <w:num w:numId="3">
    <w:abstractNumId w:val="691726"/>
  </w:num>
  <w:num w:numId="4">
    <w:abstractNumId w:val="691727"/>
  </w:num>
  <w:num w:numId="5">
    <w:abstractNumId w:val="691728"/>
  </w:num>
  <w:num w:numId="6">
    <w:abstractNumId w:val="691729"/>
  </w:num>
  <w:num w:numId="7">
    <w:abstractNumId w:val="691730"/>
  </w:num>
  <w:num w:numId="8">
    <w:abstractNumId w:val="691731"/>
  </w:num>
  <w:num w:numId="9">
    <w:abstractNumId w:val="691732"/>
  </w:num>
  <w:num w:numId="10">
    <w:abstractNumId w:val="691733"/>
  </w:num>
  <w:num w:numId="11">
    <w:abstractNumId w:val="691734"/>
  </w:num>
  <w:num w:numId="12">
    <w:abstractNumId w:val="691735"/>
  </w:num>
  <w:num w:numId="13">
    <w:abstractNumId w:val="691736"/>
  </w:num>
  <w:num w:numId="14">
    <w:abstractNumId w:val="691737"/>
  </w:num>
  <w:num w:numId="15">
    <w:abstractNumId w:val="691738"/>
  </w:num>
  <w:num w:numId="16">
    <w:abstractNumId w:val="691739"/>
  </w:num>
  <w:num w:numId="17">
    <w:abstractNumId w:val="691740"/>
  </w:num>
  <w:num w:numId="18">
    <w:abstractNumId w:val="691741"/>
  </w:num>
  <w:num w:numId="19">
    <w:abstractNumId w:val="691742"/>
  </w:num>
  <w:num w:numId="20">
    <w:abstractNumId w:val="691743"/>
  </w:num>
  <w:num w:numId="21">
    <w:abstractNumId w:val="691744"/>
  </w:num>
  <w:num w:numId="22">
    <w:abstractNumId w:val="691745"/>
  </w:num>
  <w:num w:numId="23">
    <w:abstractNumId w:val="691746"/>
  </w:num>
  <w:num w:numId="24">
    <w:abstractNumId w:val="691747"/>
  </w:num>
  <w:num w:numId="25">
    <w:abstractNumId w:val="691748"/>
  </w:num>
  <w:num w:numId="26">
    <w:abstractNumId w:val="691749"/>
  </w:num>
  <w:num w:numId="27">
    <w:abstractNumId w:val="691750"/>
  </w:num>
  <w:num w:numId="28">
    <w:abstractNumId w:val="691751"/>
  </w:num>
  <w:num w:numId="29">
    <w:abstractNumId w:val="691752"/>
  </w:num>
  <w:num w:numId="30">
    <w:abstractNumId w:val="691753"/>
  </w:num>
  <w:num w:numId="31">
    <w:abstractNumId w:val="691754"/>
  </w:num>
  <w:num w:numId="32">
    <w:abstractNumId w:val="6917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2026-05-03T16:36:19Z</dcterms:created>
  <dc:creator>Apache POI</dc:creator>
</cp:coreProperties>
</file>