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VIVEK CHAWDA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b w:val="1"/>
          <w:bCs w:val="1"/>
          <w:rtl w:val="0"/>
        </w:rPr>
        <w:t xml:space="preserve">Design Manager &amp; Head of UX</w:t>
      </w:r>
      <w:r w:rsidDel="00000000" w:rsidR="00000000" w:rsidRPr="00000000">
        <w:rPr>
          <w:rtl w:val="0"/>
        </w:rPr>
        <w:t xml:space="preserve"> Bengaluru, India | +91-966-378-1502 | vivchawda@gmail.com </w:t>
      </w:r>
      <w:hyperlink w:anchor="4gz0b9mc2iob">
        <w:r w:rsidDel="00000000" w:rsidR="00000000" w:rsidRPr="00000000">
          <w:rPr>
            <w:color w:val="0000ee"/>
            <w:u w:val="single"/>
            <w:rtl w:val="0"/>
          </w:rPr>
          <w:t xml:space="preserve">LinkedIn</w:t>
        </w:r>
      </w:hyperlink>
      <w:r w:rsidDel="00000000" w:rsidR="00000000" w:rsidRPr="00000000">
        <w:rPr>
          <w:rtl w:val="0"/>
        </w:rPr>
        <w:t xml:space="preserve"> | </w:t>
      </w:r>
      <w:hyperlink w:anchor="4gz0b9mc2iob">
        <w:r w:rsidDel="00000000" w:rsidR="00000000" w:rsidRPr="00000000">
          <w:rPr>
            <w:color w:val="0000ee"/>
            <w:u w:val="single"/>
            <w:rtl w:val="0"/>
          </w:rPr>
          <w:t xml:space="preserve">Website</w:t>
        </w:r>
      </w:hyperlink>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Strategic Design Manager with 16 years of experience building, scaling, and leading high-performing design organizations across enterprise SaaS, healthcare, and energy infrastructure. Proven expertise establishing core DesignOps functions, scaling cross-platform enterprise design systems, and driving design governance to eliminate delivery bottlenecks. Adept at managing cross-functional global teams of 10+ designers and researchers while directly owning hiring, mentorship, review cadences, and performance management. Translates complex business goals into scalable design strategies that accelerate development cycles and reduce engineering rework. Immediately available for strategic leadership roles.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COMPETENCIES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 Leadership:</w:t>
      </w:r>
      <w:r w:rsidDel="00000000" w:rsidR="00000000" w:rsidRPr="00000000">
        <w:rPr>
          <w:rtl w:val="0"/>
        </w:rPr>
        <w:t xml:space="preserve"> Design Management | Design Strategy | Cross-Functional Leadership | Stakeholder Management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Operations:</w:t>
      </w:r>
      <w:r w:rsidDel="00000000" w:rsidR="00000000" w:rsidRPr="00000000">
        <w:rPr>
          <w:rtl w:val="0"/>
        </w:rPr>
        <w:t xml:space="preserve"> Hiring and Mentoring | Team Leadership (10+) | Performance Governance | Distributed Teams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DesignOps &amp; Scaling:</w:t>
      </w:r>
      <w:r w:rsidDel="00000000" w:rsidR="00000000" w:rsidRPr="00000000">
        <w:rPr>
          <w:rtl w:val="0"/>
        </w:rPr>
        <w:t xml:space="preserve"> Design Operations | Enterprise Design Systems | Design QA Frameworks | Handoff Optimization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Strategy:</w:t>
      </w:r>
      <w:r w:rsidDel="00000000" w:rsidR="00000000" w:rsidRPr="00000000">
        <w:rPr>
          <w:rtl w:val="0"/>
        </w:rPr>
        <w:t xml:space="preserve"> 0-to-1 Product Development | Agile/SAFe Scaling | WCAG 2.1 AA Governance | Compliance Standards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EXPERIENCE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Principal UX Consultant</w:t>
      </w:r>
      <w:r w:rsidDel="00000000" w:rsidR="00000000" w:rsidRPr="00000000">
        <w:rPr>
          <w:rtl w:val="0"/>
        </w:rPr>
        <w:t xml:space="preserve"> | Enterprise Advisory Services | Aug 2023 – Present </w:t>
      </w:r>
      <w:r w:rsidDel="00000000" w:rsidR="00000000" w:rsidRPr="00000000">
        <w:rPr>
          <w:i w:val="1"/>
          <w:iCs w:val="1"/>
          <w:rtl w:val="0"/>
        </w:rPr>
        <w:t xml:space="preserve">Bengaluru, India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Providing strategic UX advisory, design operations auditing, and regulatory compliance reviews to corporate clients across healthcare, insurance, and enterprise sectors.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Advising executive stakeholders on design system implementation, resource scaling, and bridging design-to-engineering handoff workflows.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Directed the user experience strategy and end-to-end interface architecture for VC Lab, managing cross-functional dashboard and mobile UI requirements.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Design Manager (6-Month Turnaround Contract)</w:t>
      </w:r>
      <w:r w:rsidDel="00000000" w:rsidR="00000000" w:rsidRPr="00000000">
        <w:rPr>
          <w:rtl w:val="0"/>
        </w:rPr>
        <w:t xml:space="preserve"> | Ecolab | Nov 2024 – May 2025 </w:t>
      </w:r>
      <w:r w:rsidDel="00000000" w:rsidR="00000000" w:rsidRPr="00000000">
        <w:rPr>
          <w:i w:val="1"/>
          <w:iCs w:val="1"/>
          <w:rtl w:val="0"/>
        </w:rPr>
        <w:t xml:space="preserve">Bengaluru, India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 scaled, and managed a high-performing global design team of 11, comprising 7 UX designers and 4 user researchers.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Owned total lifecycle team governance including hiring, onboarding, continuous mentoring, performance management, and career development.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Implemented robust DesignOps frameworks and formal design QA processes that successfully reduced development rework by 30%.</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Drove the company-wide scaling of an enterprise design system, accelerating overall design delivery cadences by 20%.</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Streamlined cross-functional workflows to improve design-to-development handoff efficiency by 25%.</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Established structured design critique frameworks, review cadences, and operational quality assurance standards.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Governed strict adherence to WCAG 2.1 AA accessibility compliance across all organizational design outputs.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Associate Design Director</w:t>
      </w:r>
      <w:r w:rsidDel="00000000" w:rsidR="00000000" w:rsidRPr="00000000">
        <w:rPr>
          <w:rtl w:val="0"/>
        </w:rPr>
        <w:t xml:space="preserve"> | McKinsey and Company | Feb 2022 – Aug 2023 </w:t>
      </w:r>
      <w:r w:rsidDel="00000000" w:rsidR="00000000" w:rsidRPr="00000000">
        <w:rPr>
          <w:i w:val="1"/>
          <w:iCs w:val="1"/>
          <w:rtl w:val="0"/>
        </w:rPr>
        <w:t xml:space="preserve">Bengaluru, India</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Directed end-to-end product design strategy for MAARS, scaling a secure mobile commerce platform serving 10,000+ users across rural India.</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Governed user research initiatives and co-creation frameworks, utilizing insights to drive strategic product refinement.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Championed design enhancements that optimized workflows for low-literacy demographics, increasing core task success rates by 55%.</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Managed cross-functional execution across full Agile sprints in seamless collaboration with product managers, engineering leads, and research teams.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Spearheaded the United Nations Design for Good initiative within the organization, aligning core product outputs with UN Sustainable Development Goals.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Principal Product Designer (Design Lead)</w:t>
      </w:r>
      <w:r w:rsidDel="00000000" w:rsidR="00000000" w:rsidRPr="00000000">
        <w:rPr>
          <w:rtl w:val="0"/>
        </w:rPr>
        <w:t xml:space="preserve"> | Kayrros | Nov 2020 – Jan 2021 </w:t>
      </w:r>
      <w:r w:rsidDel="00000000" w:rsidR="00000000" w:rsidRPr="00000000">
        <w:rPr>
          <w:i w:val="1"/>
          <w:iCs w:val="1"/>
          <w:rtl w:val="0"/>
        </w:rPr>
        <w:t xml:space="preserve">Bengaluru, India / Paris, France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Defined the overarching design vision, strategy, and execution roadmaps from the ground up for a complex suite of 7 interconnected SaaS products.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Educated and oriented distributed executive stakeholders and engineering teams around design-led product strategy.</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Orchestrated the development of a unified cross-platform design system, accelerating enterprise-wide development cycles by 18%.</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Led distributed design collaboration across international cross-functional teams spanning India and France.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Senior UX Designer (Design Lead)</w:t>
      </w:r>
      <w:r w:rsidDel="00000000" w:rsidR="00000000" w:rsidRPr="00000000">
        <w:rPr>
          <w:rtl w:val="0"/>
        </w:rPr>
        <w:t xml:space="preserve"> | Siemens Technology | Jul 2018 – Nov 2020 </w:t>
      </w:r>
      <w:r w:rsidDel="00000000" w:rsidR="00000000" w:rsidRPr="00000000">
        <w:rPr>
          <w:i w:val="1"/>
          <w:iCs w:val="1"/>
          <w:rtl w:val="0"/>
        </w:rPr>
        <w:t xml:space="preserve">Bengaluru, India / Erlangen, Germany</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Served as core design lead across global business units, actively aligning UX strategy with enterprise product roadmaps and rigorous compliance mandates.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Led the strategic design vision and high-fidelity prototype pitch that successfully won the major Dubai Expo 2020 Control Center enterprise contract.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Established standardized design review cadences, formal critique structures, and comprehensive interface documentation standards.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Mentored junior designers while driving operational alignment that reduced post-launch support tickets by 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Senior UX Designer</w:t>
      </w:r>
      <w:r w:rsidDel="00000000" w:rsidR="00000000" w:rsidRPr="00000000">
        <w:rPr>
          <w:rtl w:val="0"/>
        </w:rPr>
        <w:t xml:space="preserve"> | Philips Design | Jan 2015 – Apr 2018 </w:t>
      </w:r>
      <w:r w:rsidDel="00000000" w:rsidR="00000000" w:rsidRPr="00000000">
        <w:rPr>
          <w:i w:val="1"/>
          <w:iCs w:val="1"/>
          <w:rtl w:val="0"/>
        </w:rPr>
        <w:t xml:space="preserve">Bengaluru, India</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Led UX strategy for a global healthcare SaaS platform monitoring mission-critical medical imaging equipment uptime worldwide.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Enforced strict design governance to guarantee alignment with highly regulated FDA medical software standards and healthcare security policies.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EXPERIENCE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Senior Interaction Designer</w:t>
      </w:r>
      <w:r w:rsidDel="00000000" w:rsidR="00000000" w:rsidRPr="00000000">
        <w:rPr>
          <w:rtl w:val="0"/>
        </w:rPr>
        <w:t xml:space="preserve"> | GE Healthcare | 2012 – 2014 | Led usability testing and UI design for high-acuity TeleICU monitoring platforms.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 Designer</w:t>
      </w:r>
      <w:r w:rsidDel="00000000" w:rsidR="00000000" w:rsidRPr="00000000">
        <w:rPr>
          <w:rtl w:val="0"/>
        </w:rPr>
        <w:t xml:space="preserve"> | Jaguar Land Rover | 2011 – 2012 | Managed HMI concept designs aligned to strict automotive safety regulations.</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 Designer</w:t>
      </w:r>
      <w:r w:rsidDel="00000000" w:rsidR="00000000" w:rsidRPr="00000000">
        <w:rPr>
          <w:rtl w:val="0"/>
        </w:rPr>
        <w:t xml:space="preserve"> | Tata Elxsi | 2010 – 2011 | Designed core user flows and information architecture for enterprise applications.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 &amp; CERTIFICATIONS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Master of Design (M.Des.) - Software and User Interface Design</w:t>
      </w:r>
      <w:r w:rsidDel="00000000" w:rsidR="00000000" w:rsidRPr="00000000">
        <w:rPr>
          <w:rtl w:val="0"/>
        </w:rPr>
        <w:t xml:space="preserve"> | National Institute of Design | 2007 – 2009</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Bachelor of Engineering (B.Tech.) - Information Technology</w:t>
      </w:r>
      <w:r w:rsidDel="00000000" w:rsidR="00000000" w:rsidRPr="00000000">
        <w:rPr>
          <w:rtl w:val="0"/>
        </w:rPr>
        <w:t xml:space="preserve"> | South Gujarat University | 2004 – 2007</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Certifications:</w:t>
      </w:r>
      <w:r w:rsidDel="00000000" w:rsidR="00000000" w:rsidRPr="00000000">
        <w:rPr>
          <w:rtl w:val="0"/>
        </w:rPr>
        <w:t xml:space="preserve"> SAFe Agilist (Scaled Agile Framework) | United Nations Design for Good (DfG) Certification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