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jc w:val="left"/>
        <w:rPr/>
      </w:pPr>
      <w:r>
        <w:rPr>
          <w:rFonts w:ascii="Calibri" w:hAnsi="Calibri"/>
          <w:b/>
          <w:i w:val="0"/>
          <w:color w:val="2c5f8a"/>
          <w:sz w:val="52"/>
        </w:rPr>
        <w:t xml:space="preserve">Vivek Chawda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 w:val="0"/>
          <w:color w:val="505050"/>
          <w:sz w:val="22"/>
        </w:rPr>
        <w:t xml:space="preserve">Principal Product Designer  ·  UX Strategy Leader</w:t>
      </w:r>
      <w:r/>
    </w:p>
    <w:p>
      <w:pPr>
        <w:pBdr/>
        <w:spacing w:after="120" w:before="0"/>
        <w:ind/>
        <w:jc w:val="left"/>
        <w:rPr>
          <w:highlight w:val="none"/>
        </w:rPr>
      </w:pPr>
      <w:r>
        <w:rPr>
          <w:rFonts w:ascii="Calibri" w:hAnsi="Calibri"/>
          <w:b w:val="0"/>
          <w:i w:val="0"/>
          <w:color w:val="787878"/>
          <w:sz w:val="18"/>
        </w:rPr>
        <w:t xml:space="preserve">Bengaluru, India (Open to Remote &amp; International)  ·  +91 966 378 1502  ·  vivchawda@gmail.com  ·  </w:t>
      </w:r>
      <w:hyperlink r:id="rId10" w:tooltip="https://www.linkedin.com/in/vivekchawda/" w:history="1">
        <w:r>
          <w:rPr>
            <w:rStyle w:val="856"/>
            <w:rFonts w:ascii="Calibri" w:hAnsi="Calibri"/>
            <w:b w:val="0"/>
            <w:i w:val="0"/>
            <w:color w:val="989898"/>
            <w:sz w:val="18"/>
          </w:rPr>
          <w:t xml:space="preserve">linkedin.com/in/vivchawda</w:t>
        </w:r>
      </w:hyperlink>
      <w:r>
        <w:rPr>
          <w:rFonts w:ascii="Calibri" w:hAnsi="Calibri"/>
          <w:b w:val="0"/>
          <w:i w:val="0"/>
          <w:color w:val="989898"/>
          <w:sz w:val="18"/>
        </w:rPr>
        <w:t xml:space="preserve"> </w:t>
      </w:r>
      <w:r>
        <w:rPr>
          <w:rFonts w:ascii="Calibri" w:hAnsi="Calibri"/>
          <w:b w:val="0"/>
          <w:i w:val="0"/>
          <w:color w:val="787878"/>
          <w:sz w:val="18"/>
        </w:rPr>
        <w:t xml:space="preserve"> ·  </w:t>
      </w:r>
      <w:hyperlink r:id="rId11" w:tooltip="https://www.vivcs.com/" w:history="1">
        <w:r>
          <w:rPr>
            <w:rStyle w:val="856"/>
            <w:rFonts w:ascii="Calibri" w:hAnsi="Calibri"/>
            <w:b w:val="0"/>
            <w:i w:val="0"/>
            <w:color w:val="989898"/>
            <w:sz w:val="18"/>
          </w:rPr>
          <w:t xml:space="preserve">vivcs.com</w:t>
        </w:r>
        <w:r>
          <w:rPr>
            <w:rStyle w:val="856"/>
            <w:color w:val="989898"/>
          </w:rPr>
        </w:r>
      </w:hyperlink>
      <w:r/>
      <w:r>
        <w:rPr>
          <w:highlight w:val="none"/>
        </w:rPr>
      </w:r>
    </w:p>
    <w:p w14:paraId="3C5978E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highlight w:val="none"/>
        </w:rPr>
      </w:r>
      <w:r/>
    </w:p>
    <w:p>
      <w:pPr>
        <w:pBdr/>
        <w:spacing w:after="40" w:before="160"/>
        <w:ind/>
        <w:jc w:val="left"/>
        <w:rPr>
          <w:highlight w:val="none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PROFESSIONAL SUMMARY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80" w:before="40"/>
        <w:ind/>
        <w:jc w:val="left"/>
        <w:rPr/>
      </w:pPr>
      <w:r>
        <w:rPr>
          <w:rFonts w:ascii="Calibri" w:hAnsi="Calibri"/>
          <w:b w:val="0"/>
          <w:i w:val="0"/>
          <w:color w:val="1e1e1e"/>
          <w:sz w:val="19"/>
        </w:rPr>
        <w:t xml:space="preserve">Product design leader with 16 years of end-to-end experience across enterp</w:t>
      </w:r>
      <w:r>
        <w:rPr>
          <w:rFonts w:ascii="Calibri" w:hAnsi="Calibri"/>
          <w:b w:val="0"/>
          <w:i w:val="0"/>
          <w:color w:val="1e1e1e"/>
          <w:sz w:val="19"/>
        </w:rPr>
        <w:t xml:space="preserve">rise SaaS, healthcare, agri-tech, and industrial IoT. Known for building and scaling design teams (designers and researchers), establishing design systems from the ground up, and driving measurable product outcomes in complex, data-heavy environments.</w:t>
      </w:r>
      <w:r/>
    </w:p>
    <w:p>
      <w:pPr>
        <w:pBdr/>
        <w:spacing w:after="80" w:before="40"/>
        <w:ind/>
        <w:jc w:val="left"/>
        <w:rPr/>
      </w:pPr>
      <w:r>
        <w:rPr>
          <w:rFonts w:ascii="Calibri" w:hAnsi="Calibri"/>
          <w:b w:val="0"/>
          <w:i w:val="0"/>
          <w:color w:val="1e1e1e"/>
          <w:sz w:val="19"/>
        </w:rPr>
        <w:t xml:space="preserve">Signature work: led “ITC MAARS” at McKinsey &amp; Co. — a 0-to-1 rural agri-tech platform for 10,000+ low-literacy smallholder farmers</w:t>
      </w:r>
      <w:r>
        <w:rPr>
          <w:rFonts w:ascii="Calibri" w:hAnsi="Calibri"/>
          <w:b w:val="0"/>
          <w:i w:val="0"/>
          <w:color w:val="1e1e1e"/>
          <w:sz w:val="19"/>
        </w:rPr>
        <w:t xml:space="preserve">, delivered through on-field research, full UX execution, and hands-on engineering collaboration. Equally effective as a senior IC or people-manager; experienced partnering with C-suite, product leadership, and global dev teams across regulated industries.</w:t>
      </w:r>
      <w:r/>
    </w:p>
    <w:p w14:paraId="2667C52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r>
      <w:r/>
    </w:p>
    <w:p>
      <w:pPr>
        <w:pBdr/>
        <w:spacing w:after="40" w:before="160"/>
        <w:ind/>
        <w:jc w:val="left"/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WORK EXPERIENCE</w:t>
      </w:r>
      <w:r>
        <w:rPr>
          <w:b w:val="0"/>
          <w:bCs w:val="0"/>
          <w:sz w:val="28"/>
          <w:szCs w:val="28"/>
        </w:rPr>
      </w:r>
      <w:r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r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</w:r>
      <w:r>
        <w:rPr>
          <w:rFonts w:ascii="Calibri" w:hAnsi="Calibri"/>
          <w:b/>
          <w:i w:val="0"/>
          <w:color w:val="1e1e1e"/>
          <w:sz w:val="21"/>
        </w:rPr>
        <w:t xml:space="preserve">Consulting Lead Product Designer</w:t>
      </w:r>
      <w:r>
        <w:rPr>
          <w:rFonts w:ascii="Calibri" w:hAnsi="Calibri"/>
          <w:b/>
          <w:i w:val="0"/>
          <w:color w:val="1e1e1e"/>
          <w:sz w:val="21"/>
        </w:rPr>
      </w:r>
      <w:r>
        <w:rPr>
          <w:rFonts w:ascii="Calibri" w:hAnsi="Calibri"/>
          <w:b w:val="0"/>
          <w:i w:val="0"/>
          <w:color w:val="2c5f8a"/>
          <w:sz w:val="21"/>
        </w:rPr>
        <w:t xml:space="preserve">  —  </w:t>
      </w:r>
      <w:r>
        <w:rPr>
          <w:rFonts w:ascii="Calibri" w:hAnsi="Calibri"/>
          <w:b w:val="0"/>
          <w:i w:val="0"/>
          <w:color w:val="2c5f8a"/>
          <w:sz w:val="21"/>
        </w:rPr>
        <w:t xml:space="preserve">Contract Engagements (Confidential Clients)</w:t>
      </w:r>
      <w:r>
        <w:rPr>
          <w:rFonts w:ascii="Calibri" w:hAnsi="Calibri"/>
          <w:b w:val="0"/>
          <w:i w:val="0"/>
          <w:color w:val="2c5f8a"/>
          <w:sz w:val="21"/>
        </w:rPr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Jun 2025 – Present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0-to-1 UX strategy and product design for a Series A health-tech startup (US) — doctor-facing platform including full information architecture, user flows, and a scalable component system.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Designed UX for an investment advisory application, translating complex insurance and financial workflows into intuitive, investor-ready interfaces supporting the client's fundraising narrative.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Conducted UX audits and WCAG 2.1 AA accessibility reviews for enterprise SaaS clients in healthcare and insurance sectors.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Researched and mapped product opportunity gaps for a consumer electronics client, producing a strategic UX brief informing roadmap prioritisation.</w:t>
      </w:r>
      <w:r/>
    </w:p>
    <w:p>
      <w:pPr>
        <w:pBdr/>
        <w:spacing w:after="40" w:before="0"/>
        <w:ind w:left="283"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</w:r>
      <w:r>
        <w:rPr>
          <w:rFonts w:ascii="Calibri" w:hAnsi="Calibri"/>
          <w:b w:val="0"/>
          <w:i w:val="0"/>
          <w:color w:val="1e1e1e"/>
          <w:sz w:val="19"/>
        </w:rPr>
        <w:t xml:space="preserve">Architected and deployed an end-to-end AI product from concept to deployment, demonstrating hands-on LLM integration, complex product thinking, and tight alignment with engineering workflows.</w:t>
      </w:r>
      <w:r>
        <w:rPr>
          <w:rFonts w:ascii="Calibri" w:hAnsi="Calibri"/>
          <w:b w:val="0"/>
          <w:i w:val="0"/>
          <w:color w:val="1e1e1e"/>
          <w:sz w:val="19"/>
        </w:rPr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1EF4CB26"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</w:r>
      <w:r>
        <w:rPr>
          <w:rFonts w:ascii="Calibri" w:hAnsi="Calibri"/>
          <w:b w:val="0"/>
          <w:i w:val="0"/>
          <w:color w:val="1e1e1e"/>
          <w:sz w:val="19"/>
        </w:rPr>
        <w:t xml:space="preserve">Spearheaded UX strategy, interaction design, and technical execution for a Vision-AI powered inventory management system, bridging the gap between hardware tracking and seamless digital user flows.</w:t>
      </w:r>
      <w:r>
        <w:rPr>
          <w:rFonts w:ascii="Calibri" w:hAnsi="Calibri"/>
          <w:b w:val="0"/>
          <w:i w:val="0"/>
          <w:color w:val="1e1e1e"/>
          <w:sz w:val="19"/>
        </w:rPr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Function Design Leader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Ecolab</w:t>
      </w:r>
      <w:r>
        <w:rPr>
          <w:rFonts w:ascii="Calibri" w:hAnsi="Calibri"/>
          <w:b w:val="0"/>
          <w:i/>
          <w:color w:val="505050"/>
          <w:sz w:val="19"/>
        </w:rPr>
        <w:t xml:space="preserve">  ·  6-month contract; extended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Aug 2023 – May 2025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Managed and mentored a cross-functional design team, establishing design process, critique cadence, ways of working, and documentation standards adopted org-wide.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Architected and deployed an enterprise-grade design system with advanced token management — increasing engineering handoff efficiency by 25% and reducing UX QA rework by 30%.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Delivered optimised web dashboard and mobile application achieving design-to-code parity via a token-driven component library.</w:t>
      </w:r>
      <w:r/>
    </w:p>
    <w:p>
      <w:pPr>
        <w:pBdr/>
        <w:spacing w:after="40" w:before="0"/>
        <w:ind w:left="283"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Partnered with product and engineering leadership to align design priorities with business objectives and quarterly release timelines.</w:t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253D98B9">
      <w:pPr>
        <w:pBdr/>
        <w:spacing w:after="40" w:before="0"/>
        <w:ind w:left="283"/>
        <w:jc w:val="left"/>
        <w:rPr/>
      </w:pPr>
      <w:r/>
      <w:r/>
    </w:p>
    <w:p w14:paraId="2211E207"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Lead Product Designer / Senior Associate</w:t>
      </w:r>
      <w:r>
        <w:rPr>
          <w:rFonts w:ascii="Calibri" w:hAnsi="Calibri"/>
          <w:b w:val="0"/>
          <w:i w:val="0"/>
          <w:color w:val="2c5f8a"/>
          <w:sz w:val="21"/>
        </w:rPr>
        <w:t xml:space="preserve">   —  McKinsey &amp; Company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Feb 2022 – Aug 2023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So</w:t>
      </w:r>
      <w:r>
        <w:rPr>
          <w:rFonts w:ascii="Calibri" w:hAnsi="Calibri"/>
          <w:b w:val="0"/>
          <w:i w:val="0"/>
          <w:color w:val="1e1e1e"/>
          <w:sz w:val="19"/>
        </w:rPr>
        <w:t xml:space="preserve">le desi</w:t>
      </w:r>
      <w:r>
        <w:rPr>
          <w:rFonts w:ascii="Calibri" w:hAnsi="Calibri"/>
          <w:b w:val="0"/>
          <w:i w:val="0"/>
          <w:color w:val="1e1e1e"/>
          <w:sz w:val="19"/>
        </w:rPr>
        <w:t xml:space="preserve">gn leader on MAARS — a 0-to-1 rural agri-tech platform for low-literacy smallholder farmers in India by ITC. Conducted on-field user research, translated insights into interaction design, and collaborated directly with engineering through build and launch.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Achieved adoption by 10,000+ users within the launch window; improved core task success rates by 55% through iterative usability testing and UI refinement.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Designed secure critical user flows including 2FA and account protection interfaces within an Agile/SAFe delivery environment.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Managed stakeholder alignment across McKinsey client teams, product owners, and engineering leads across multiple sprint cycles.</w:t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Principal Product Designer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Kayrros</w:t>
      </w:r>
      <w:r>
        <w:rPr>
          <w:rFonts w:ascii="Calibri" w:hAnsi="Calibri"/>
          <w:b w:val="0"/>
          <w:i/>
          <w:color w:val="505050"/>
          <w:sz w:val="19"/>
        </w:rPr>
        <w:t xml:space="preserve">  ·  Founding design phase; local Paris team transitioned in upon handover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/ Paris, France  |  Nov 2020 – Jan 2022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Owned product design across a suite of 7 interconnected environmental monitoring SaaS products serving enterprise analyst and policy-making teams globally.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and mentored a distributed design team, setting cross-product design standards, a shared component library, and unified token system — accelerating global development cycles by 18%.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Shipped complex data visualisation dashboards, predictive analysis interfaces, and decision-support tooling handling edge-case data density and multi-locale requirements.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Acted as primary design partner to VP-level product stakeholders and engineering leads across two geographies.</w:t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Senior UX Designer / Technical Expert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Siemens Technology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/ Erlangen, Germany  |  Jul 2018 – Nov 2020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UX strategy and prototyping that directly contributed to securing the multi-million dollar Dubai Expo 2020 Control Center contract — setting a new benchmark for real-time monitoring and control dashboards.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Managed a team of UX designers and researchers, defining design processes and quality standards aligned with global engineering requirements.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SPOC for Oil &amp; Gas vertical: Reduced post-launch support tickets by 25% through precise interaction specifications and close engineering collaboration across two geographies.</w:t>
      </w:r>
      <w:r/>
    </w:p>
    <w:p>
      <w:pPr>
        <w:pBdr/>
        <w:spacing w:after="20" w:before="140"/>
        <w:ind/>
        <w:jc w:val="left"/>
        <w:rPr/>
      </w:pPr>
      <w:r>
        <w:rPr>
          <w:rFonts w:ascii="Calibri" w:hAnsi="Calibri"/>
          <w:b/>
          <w:i w:val="0"/>
          <w:color w:val="1e1e1e"/>
          <w:sz w:val="21"/>
        </w:rPr>
        <w:t xml:space="preserve">Senior UX Designer</w:t>
      </w:r>
      <w:r>
        <w:rPr>
          <w:rFonts w:ascii="Calibri" w:hAnsi="Calibri"/>
          <w:b w:val="0"/>
          <w:i w:val="0"/>
          <w:color w:val="2c5f8a"/>
          <w:sz w:val="21"/>
        </w:rPr>
        <w:t xml:space="preserve">  —  Philips Design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8"/>
        </w:rPr>
        <w:t xml:space="preserve">Bengaluru, India  |  Jan 2015 – Apr 2018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Led UX for a global SaaS platform monitoring medical imaging equipment health across hospital networks in 20+ countries; managed a team of designers and researchers.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Designed clinical interfaces compliant with FDA-regulated medical software safety standards, validated through research with radiologists across the US, EU, and India.</w:t>
      </w:r>
      <w:r/>
    </w:p>
    <w:p>
      <w:pPr>
        <w:pBdr/>
        <w:spacing w:after="40" w:before="0"/>
        <w:ind w:left="283"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Established design documentation practices that significantly reduced design-engineering misinterpretation across time zones.</w:t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688412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/>
    </w:p>
    <w:p>
      <w:pPr>
        <w:pBdr/>
        <w:spacing w:after="40" w:before="160"/>
        <w:ind/>
        <w:jc w:val="left"/>
        <w:rPr>
          <w:b w:val="0"/>
          <w:bCs w:val="0"/>
          <w:sz w:val="28"/>
          <w:szCs w:val="28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EARLIER CAREER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GE Healthcare</w:t>
      </w:r>
      <w:r>
        <w:rPr>
          <w:rFonts w:ascii="Calibri" w:hAnsi="Calibri"/>
          <w:b w:val="0"/>
          <w:i w:val="0"/>
          <w:color w:val="787878"/>
          <w:sz w:val="19"/>
        </w:rPr>
        <w:t xml:space="preserve">  (2012–2014)  ·  </w:t>
      </w:r>
      <w:r>
        <w:rPr>
          <w:rFonts w:ascii="Calibri" w:hAnsi="Calibri"/>
          <w:b w:val="0"/>
          <w:i/>
          <w:color w:val="505050"/>
          <w:sz w:val="19"/>
        </w:rPr>
        <w:t xml:space="preserve">Senior Interaction Designer</w:t>
      </w:r>
      <w:r>
        <w:rPr>
          <w:rFonts w:ascii="Calibri" w:hAnsi="Calibri"/>
          <w:b w:val="0"/>
          <w:i/>
          <w:color w:val="787878"/>
          <w:sz w:val="18"/>
        </w:rPr>
        <w:t xml:space="preserve">  ·  2-project contract engagement</w:t>
      </w:r>
      <w:r>
        <w:rPr>
          <w:rFonts w:ascii="Calibri" w:hAnsi="Calibri"/>
          <w:b w:val="0"/>
          <w:i w:val="0"/>
          <w:color w:val="1e1e1e"/>
          <w:sz w:val="19"/>
        </w:rPr>
        <w:t xml:space="preserve">  —  High-acuity patient monitoring systems and TeleICU clinical interfaces.</w:t>
      </w:r>
      <w:r/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Jaguar Land Rover</w:t>
      </w:r>
      <w:r>
        <w:rPr>
          <w:rFonts w:ascii="Calibri" w:hAnsi="Calibri"/>
          <w:b w:val="0"/>
          <w:i w:val="0"/>
          <w:color w:val="787878"/>
          <w:sz w:val="19"/>
        </w:rPr>
        <w:t xml:space="preserve">  (2011–2012)  ·  </w:t>
      </w:r>
      <w:r>
        <w:rPr>
          <w:rFonts w:ascii="Calibri" w:hAnsi="Calibri"/>
          <w:b w:val="0"/>
          <w:i/>
          <w:color w:val="505050"/>
          <w:sz w:val="19"/>
        </w:rPr>
        <w:t xml:space="preserve">Interaction Designer</w:t>
      </w:r>
      <w:r>
        <w:rPr>
          <w:rFonts w:ascii="Calibri" w:hAnsi="Calibri"/>
          <w:b w:val="0"/>
          <w:i/>
          <w:color w:val="787878"/>
          <w:sz w:val="18"/>
        </w:rPr>
        <w:t xml:space="preserve">  ·  Deployed by Tata Elxsi for R&amp;D programme</w:t>
      </w:r>
      <w:r>
        <w:rPr>
          <w:rFonts w:ascii="Calibri" w:hAnsi="Calibri"/>
          <w:b w:val="0"/>
          <w:i w:val="0"/>
          <w:color w:val="1e1e1e"/>
          <w:sz w:val="19"/>
        </w:rPr>
        <w:t xml:space="preserve">  —  Automotive HMI design and driver distraction safety standards.</w:t>
      </w:r>
      <w:r/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Tata Elxsi</w:t>
      </w:r>
      <w:r>
        <w:rPr>
          <w:rFonts w:ascii="Calibri" w:hAnsi="Calibri"/>
          <w:b w:val="0"/>
          <w:i w:val="0"/>
          <w:color w:val="787878"/>
          <w:sz w:val="19"/>
        </w:rPr>
        <w:t xml:space="preserve">  (2010–2011)  ·  </w:t>
      </w:r>
      <w:r>
        <w:rPr>
          <w:rFonts w:ascii="Calibri" w:hAnsi="Calibri"/>
          <w:b w:val="0"/>
          <w:i/>
          <w:color w:val="505050"/>
          <w:sz w:val="19"/>
        </w:rPr>
        <w:t xml:space="preserve">UX Designer</w:t>
      </w:r>
      <w:r>
        <w:rPr>
          <w:rFonts w:ascii="Calibri" w:hAnsi="Calibri"/>
          <w:b w:val="0"/>
          <w:i w:val="0"/>
          <w:color w:val="1e1e1e"/>
          <w:sz w:val="19"/>
        </w:rPr>
        <w:t xml:space="preserve">  —  Enterprise and consumer interaction patterns and information architecture.</w:t>
      </w:r>
      <w:r/>
    </w:p>
    <w:p>
      <w:pPr>
        <w:pBdr/>
        <w:spacing w:after="40" w:before="160"/>
        <w:ind/>
        <w:jc w:val="left"/>
        <w:rPr>
          <w:b w:val="0"/>
          <w:bCs w:val="0"/>
          <w:sz w:val="28"/>
          <w:szCs w:val="28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CORE COMPETENCIES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 w:after="40" w:before="60"/>
        <w:ind/>
        <w:jc w:val="left"/>
        <w:rPr/>
      </w:pPr>
      <w:r>
        <w:rPr>
          <w:rFonts w:ascii="Calibri" w:hAnsi="Calibri"/>
          <w:b/>
          <w:i w:val="0"/>
          <w:color w:val="2c5f8a"/>
          <w:sz w:val="19"/>
        </w:rPr>
        <w:t xml:space="preserve">Leadership &amp; Strategy:  </w:t>
      </w:r>
      <w:r>
        <w:rPr>
          <w:rFonts w:ascii="Calibri" w:hAnsi="Calibri"/>
          <w:b w:val="0"/>
          <w:i w:val="0"/>
          <w:color w:val="1e1e1e"/>
          <w:sz w:val="19"/>
        </w:rPr>
        <w:t xml:space="preserve">Design Team Management (local &amp; distributed)  ·  0-to-1 Product Development  ·  UX Strategy  ·  Design Process &amp; Ways of Working  ·  Stakeholder &amp; Client Management  ·  Agile / SAFe Delivery</w:t>
      </w:r>
      <w:r/>
    </w:p>
    <w:p>
      <w:pPr>
        <w:pBdr/>
        <w:spacing w:after="40" w:before="60"/>
        <w:ind/>
        <w:jc w:val="left"/>
        <w:rPr/>
      </w:pPr>
      <w:r>
        <w:rPr>
          <w:rFonts w:ascii="Calibri" w:hAnsi="Calibri"/>
          <w:b/>
          <w:i w:val="0"/>
          <w:color w:val="2c5f8a"/>
          <w:sz w:val="19"/>
        </w:rPr>
        <w:t xml:space="preserve">UX &amp; Product Design:  </w:t>
      </w:r>
      <w:r>
        <w:rPr>
          <w:rFonts w:ascii="Calibri" w:hAnsi="Calibri"/>
          <w:b w:val="0"/>
          <w:i w:val="0"/>
          <w:color w:val="1e1e1e"/>
          <w:sz w:val="19"/>
        </w:rPr>
        <w:t xml:space="preserve">Information Architecture  ·  UX Research &amp; Usability Testing  ·  Data Visualisation  ·  Low-Literacy &amp; Accessibility Design  ·  Complex Systems Design  ·  End-to-End Product Ownership</w:t>
      </w:r>
      <w:r/>
    </w:p>
    <w:p>
      <w:pPr>
        <w:pBdr/>
        <w:spacing w:after="40" w:before="60"/>
        <w:ind/>
        <w:jc w:val="left"/>
        <w:rPr/>
      </w:pPr>
      <w:r>
        <w:rPr>
          <w:rFonts w:ascii="Calibri" w:hAnsi="Calibri"/>
          <w:b/>
          <w:i w:val="0"/>
          <w:color w:val="2c5f8a"/>
          <w:sz w:val="19"/>
        </w:rPr>
        <w:t xml:space="preserve">Design Systems:  </w:t>
      </w:r>
      <w:r>
        <w:rPr>
          <w:rFonts w:ascii="Calibri" w:hAnsi="Calibri"/>
          <w:b w:val="0"/>
          <w:i w:val="0"/>
          <w:color w:val="1e1e1e"/>
          <w:sz w:val="19"/>
        </w:rPr>
        <w:t xml:space="preserve">Advanced Token Management  ·  Component Libraries  ·  Pattern Systems  ·  WCAG 2.1 AA  ·  Design-to-Code Handoff</w:t>
      </w:r>
      <w:r/>
    </w:p>
    <w:p>
      <w:pPr>
        <w:pBdr/>
        <w:spacing w:after="40" w:before="60"/>
        <w:ind/>
        <w:jc w:val="left"/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pPr>
      <w:r>
        <w:rPr>
          <w:rFonts w:ascii="Calibri" w:hAnsi="Calibri"/>
          <w:b/>
          <w:i w:val="0"/>
          <w:color w:val="2c5f8a"/>
          <w:sz w:val="19"/>
        </w:rPr>
        <w:t xml:space="preserve">Tools &amp; Technical:  </w:t>
      </w:r>
      <w:r>
        <w:rPr>
          <w:rFonts w:ascii="Calibri" w:hAnsi="Calibri"/>
          <w:b w:val="0"/>
          <w:i w:val="0"/>
          <w:color w:val="1e1e1e"/>
          <w:sz w:val="19"/>
        </w:rPr>
        <w:t xml:space="preserve">Figma  ·  Framer  ·  Axure  ·  Adobe Creative Suite  ·  Miro  ·  HTML  ·  CSS  ·  JavaScript  ·  Python  ·  LLM / AI Integration  ·  Open-Source Development</w:t>
      </w:r>
      <w:r>
        <w:rPr>
          <w:rFonts w:ascii="Calibri" w:hAnsi="Calibri"/>
          <w:b w:val="0"/>
          <w:bCs w:val="0"/>
          <w:i w:val="0"/>
          <w:color w:val="1e1e1e"/>
          <w:sz w:val="19"/>
          <w:szCs w:val="19"/>
          <w:highlight w:val="none"/>
        </w:rPr>
      </w:r>
    </w:p>
    <w:p w14:paraId="688412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 w:val="0"/>
          <w:i w:val="0"/>
          <w:color w:val="1e1e1e"/>
          <w:sz w:val="19"/>
          <w:highlight w:val="none"/>
        </w:rPr>
      </w:r>
      <w:r/>
    </w:p>
    <w:p>
      <w:pPr>
        <w:pBdr/>
        <w:spacing w:after="40" w:before="160"/>
        <w:ind/>
        <w:jc w:val="left"/>
        <w:rPr>
          <w:b w:val="0"/>
          <w:bCs w:val="0"/>
          <w:sz w:val="28"/>
          <w:szCs w:val="28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EDUCATION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Master of Design (M.Des.) — Software &amp; User Interface Design</w:t>
      </w:r>
      <w:r/>
    </w:p>
    <w:p>
      <w:pPr>
        <w:pBdr/>
        <w:spacing w:after="60" w:before="0"/>
        <w:ind/>
        <w:jc w:val="left"/>
        <w:rPr>
          <w:rFonts w:ascii="Calibri" w:hAnsi="Calibri"/>
          <w:b w:val="0"/>
          <w:bCs/>
          <w:i/>
          <w:color w:val="787878"/>
          <w:sz w:val="19"/>
          <w:szCs w:val="19"/>
          <w:highlight w:val="none"/>
        </w:rPr>
      </w:pPr>
      <w:r>
        <w:rPr>
          <w:rFonts w:ascii="Calibri" w:hAnsi="Calibri"/>
          <w:b w:val="0"/>
          <w:i/>
          <w:color w:val="787878"/>
          <w:sz w:val="19"/>
        </w:rPr>
        <w:t xml:space="preserve">National Institute of Design  ·  2007 – 2009</w:t>
      </w:r>
      <w:r/>
    </w:p>
    <w:p w14:paraId="67EEF825"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9"/>
          <w:highlight w:val="none"/>
        </w:rPr>
        <w:t xml:space="preserve">(Thesis, Malmo University/TAT</w:t>
      </w:r>
      <w:r>
        <w:rPr>
          <w:rFonts w:ascii="Calibri" w:hAnsi="Calibri"/>
          <w:b w:val="0"/>
          <w:i/>
          <w:color w:val="787878"/>
          <w:sz w:val="19"/>
          <w:highlight w:val="none"/>
        </w:rPr>
        <w:t xml:space="preserve">)</w:t>
      </w:r>
      <w:r>
        <w:rPr>
          <w:rFonts w:ascii="Calibri" w:hAnsi="Calibri"/>
          <w:b w:val="0"/>
          <w:i/>
          <w:color w:val="787878"/>
          <w:sz w:val="19"/>
          <w:highlight w:val="none"/>
        </w:rPr>
      </w:r>
    </w:p>
    <w:p>
      <w:pPr>
        <w:pBdr/>
        <w:spacing w:after="20" w:before="6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Bachelor — Information Technology</w:t>
      </w:r>
      <w:r/>
    </w:p>
    <w:p>
      <w:pPr>
        <w:pBdr/>
        <w:spacing w:after="60" w:before="0"/>
        <w:ind/>
        <w:jc w:val="left"/>
        <w:rPr/>
      </w:pPr>
      <w:r>
        <w:rPr>
          <w:rFonts w:ascii="Calibri" w:hAnsi="Calibri"/>
          <w:b w:val="0"/>
          <w:i/>
          <w:color w:val="787878"/>
          <w:sz w:val="19"/>
        </w:rPr>
        <w:t xml:space="preserve">South Gujarat University  ·  2004 – 2008</w:t>
      </w:r>
      <w:r/>
    </w:p>
    <w:p w14:paraId="688412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4785</wp:posOffset>
                </wp:positionH>
                <wp:positionV relativeFrom="paragraph">
                  <wp:posOffset>31355</wp:posOffset>
                </wp:positionV>
                <wp:extent cx="6315075" cy="47625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6315075" cy="47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2048;mso-wrap-distance-left:9.07pt;mso-wrap-distance-top:0.00pt;mso-wrap-distance-right:9.07pt;mso-wrap-distance-bottom:0.00pt;rotation:0;flip:y;visibility:visible;" from="0.4pt,2.5pt" to="497.6pt,6.2pt" fillcolor="#3E82CD" strokecolor="#487BB4" strokeweight="0.75pt">
                <v:fill color2="#83BEFF" colors="0f #3E82CD;65536f #83BEFF;" angle="-90" focus="100%" type="gradient"/>
                <v:stroke dashstyle="solid"/>
              </v:line>
            </w:pict>
          </mc:Fallback>
        </mc:AlternateContent>
      </w:r>
      <w:r>
        <w:rPr>
          <w:rFonts w:ascii="Calibri" w:hAnsi="Calibri"/>
          <w:b/>
          <w:i w:val="0"/>
          <w:color w:val="2c5f8a"/>
          <w:sz w:val="18"/>
          <w:highlight w:val="none"/>
        </w:rPr>
      </w:r>
      <w:r/>
    </w:p>
    <w:p>
      <w:pPr>
        <w:pBdr/>
        <w:spacing w:after="40" w:before="160"/>
        <w:ind/>
        <w:jc w:val="left"/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pPr>
      <w:r>
        <w:rPr>
          <w:rFonts w:ascii="Calibri" w:hAnsi="Calibri"/>
          <w:b w:val="0"/>
          <w:bCs w:val="0"/>
          <w:i w:val="0"/>
          <w:color w:val="2c5f8a"/>
          <w:sz w:val="28"/>
          <w:szCs w:val="28"/>
        </w:rPr>
        <w:t xml:space="preserve">CERTIFICATIONS</w:t>
      </w:r>
      <w:r>
        <w:rPr>
          <w:b w:val="0"/>
          <w:bCs w:val="0"/>
          <w:sz w:val="28"/>
          <w:szCs w:val="28"/>
        </w:rPr>
      </w:r>
      <w:r>
        <w:rPr>
          <w:rFonts w:ascii="Calibri" w:hAnsi="Calibri"/>
          <w:b w:val="0"/>
          <w:bCs w:val="0"/>
          <w:i w:val="0"/>
          <w:color w:val="2c5f8a"/>
          <w:sz w:val="28"/>
          <w:szCs w:val="28"/>
          <w:highlight w:val="none"/>
        </w:rPr>
      </w:r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SAFe Agilist — Scaled Agile Framework</w:t>
      </w:r>
      <w:r/>
    </w:p>
    <w:p>
      <w:pPr>
        <w:pBdr/>
        <w:spacing w:after="40" w:before="0"/>
        <w:ind w:left="283"/>
        <w:jc w:val="left"/>
        <w:rPr/>
      </w:pPr>
      <w:r>
        <w:rPr>
          <w:rFonts w:ascii="Calibri" w:hAnsi="Calibri"/>
          <w:b w:val="0"/>
          <w:i w:val="0"/>
          <w:color w:val="2c5f8a"/>
          <w:sz w:val="19"/>
        </w:rPr>
        <w:t xml:space="preserve">▸  </w:t>
      </w:r>
      <w:r>
        <w:rPr>
          <w:rFonts w:ascii="Calibri" w:hAnsi="Calibri"/>
          <w:b w:val="0"/>
          <w:i w:val="0"/>
          <w:color w:val="1e1e1e"/>
          <w:sz w:val="19"/>
        </w:rPr>
        <w:t xml:space="preserve">United Nations Design for Good (DfG)</w:t>
      </w:r>
      <w:r/>
    </w:p>
    <w:p>
      <w:pPr>
        <w:pBdr>
          <w:bottom w:val="single" w:color="2c5f8a" w:sz="6" w:space="1"/>
        </w:pBdr>
        <w:spacing w:after="80" w:before="0"/>
        <w:ind/>
        <w:rPr/>
      </w:pPr>
      <w:r/>
      <w:r/>
    </w:p>
    <w:p>
      <w:pPr>
        <w:pBdr/>
        <w:spacing w:after="40" w:before="40"/>
        <w:ind/>
        <w:jc w:val="left"/>
        <w:rPr/>
      </w:pPr>
      <w:r>
        <w:rPr>
          <w:rFonts w:ascii="Calibri" w:hAnsi="Calibri"/>
          <w:b/>
          <w:i w:val="0"/>
          <w:color w:val="1e1e1e"/>
          <w:sz w:val="19"/>
        </w:rPr>
        <w:t xml:space="preserve">Website:</w:t>
      </w:r>
      <w:r>
        <w:rPr>
          <w:rFonts w:ascii="Calibri" w:hAnsi="Calibri"/>
          <w:b/>
          <w:i w:val="0"/>
          <w:color w:val="989898"/>
          <w:sz w:val="19"/>
        </w:rPr>
        <w:t xml:space="preserve"> </w:t>
      </w:r>
      <w:r>
        <w:rPr>
          <w:rFonts w:ascii="Calibri" w:hAnsi="Calibri"/>
          <w:b w:val="0"/>
          <w:i w:val="0"/>
          <w:color w:val="989898"/>
          <w:sz w:val="19"/>
        </w:rPr>
      </w:r>
      <w:hyperlink r:id="rId12" w:tooltip="https://www.vivcs.com/" w:history="1">
        <w:r>
          <w:rPr>
            <w:rStyle w:val="856"/>
            <w:rFonts w:ascii="Calibri" w:hAnsi="Calibri"/>
            <w:b w:val="0"/>
            <w:i w:val="0"/>
            <w:color w:val="989898"/>
            <w:sz w:val="19"/>
          </w:rPr>
          <w:t xml:space="preserve">vivcs.com</w:t>
        </w:r>
      </w:hyperlink>
      <w:r>
        <w:rPr>
          <w:rFonts w:ascii="Calibri" w:hAnsi="Calibri"/>
          <w:b w:val="0"/>
          <w:i w:val="0"/>
          <w:color w:val="989898"/>
          <w:sz w:val="19"/>
        </w:rPr>
        <w:t xml:space="preserve">  </w:t>
      </w:r>
      <w:r>
        <w:rPr>
          <w:rFonts w:ascii="Calibri" w:hAnsi="Calibri"/>
          <w:b w:val="0"/>
          <w:i w:val="0"/>
          <w:color w:val="1e1e1e"/>
          <w:sz w:val="19"/>
        </w:rPr>
        <w:t xml:space="preserve"> ·   </w:t>
      </w:r>
      <w:r>
        <w:rPr>
          <w:rFonts w:ascii="Calibri" w:hAnsi="Calibri"/>
          <w:b w:val="0"/>
          <w:i w:val="0"/>
          <w:color w:val="1e1e1e"/>
          <w:sz w:val="19"/>
        </w:rPr>
        <w:t xml:space="preserve">Vision-AI Inventory Case Study:</w:t>
      </w:r>
      <w:r>
        <w:rPr>
          <w:rFonts w:ascii="Calibri" w:hAnsi="Calibri"/>
          <w:b w:val="0"/>
          <w:i w:val="0"/>
          <w:color w:val="1e1e1e"/>
          <w:sz w:val="19"/>
        </w:rPr>
        <w:t xml:space="preserve"> </w:t>
      </w:r>
      <w:r>
        <w:rPr>
          <w:rFonts w:ascii="Calibri" w:hAnsi="Calibri"/>
          <w:b w:val="0"/>
          <w:i w:val="0"/>
          <w:color w:val="2c5f8a"/>
          <w:sz w:val="19"/>
        </w:rPr>
      </w:r>
      <w:hyperlink r:id="rId13" w:tooltip="https://moodcompute.com/cs/casestudy.html" w:history="1">
        <w:r>
          <w:rPr>
            <w:rStyle w:val="856"/>
            <w:rFonts w:ascii="Calibri" w:hAnsi="Calibri"/>
            <w:b w:val="0"/>
            <w:i w:val="0"/>
            <w:color w:val="989898"/>
            <w:sz w:val="19"/>
          </w:rPr>
          <w:t xml:space="preserve">moodcompute.com/cs/casestudy.html</w:t>
        </w:r>
      </w:hyperlink>
      <w:r>
        <w:rPr>
          <w:rFonts w:ascii="Calibri" w:hAnsi="Calibri"/>
          <w:b w:val="0"/>
          <w:i w:val="0"/>
          <w:color w:val="989898"/>
          <w:sz w:val="19"/>
        </w:rPr>
      </w:r>
      <w:r/>
    </w:p>
    <w:sectPr>
      <w:footnotePr/>
      <w:endnotePr/>
      <w:type w:val="nextPage"/>
      <w:pgSz w:h="15840" w:orient="portrait" w:w="12240"/>
      <w:pgMar w:top="1020" w:right="1134" w:bottom="1020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/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linkedin.com/in/vivekchawda/" TargetMode="External"/><Relationship Id="rId11" Type="http://schemas.openxmlformats.org/officeDocument/2006/relationships/hyperlink" Target="https://www.vivcs.com/" TargetMode="External"/><Relationship Id="rId12" Type="http://schemas.openxmlformats.org/officeDocument/2006/relationships/hyperlink" Target="https://www.vivcs.com/" TargetMode="External"/><Relationship Id="rId13" Type="http://schemas.openxmlformats.org/officeDocument/2006/relationships/hyperlink" Target="https://moodcompute.com/cs/casestudy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2026-06-18T10:16:14Z</dcterms:modified>
  <cp:category/>
</cp:coreProperties>
</file>