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Logistic Regression for Septic Shock Prediction</w:t>
      </w:r>
    </w:p>
    <w:p w:rsidR="00000000" w:rsidDel="00000000" w:rsidP="00000000" w:rsidRDefault="00000000" w:rsidRPr="00000000" w14:paraId="00000002">
      <w:pPr>
        <w:rPr>
          <w:i w:val="1"/>
        </w:rPr>
      </w:pPr>
      <w:r w:rsidDel="00000000" w:rsidR="00000000" w:rsidRPr="00000000">
        <w:rPr>
          <w:i w:val="1"/>
          <w:rtl w:val="0"/>
        </w:rPr>
        <w:t xml:space="preserve">Introduction to Computational Medicine: The Physiome</w:t>
      </w:r>
    </w:p>
    <w:p w:rsidR="00000000" w:rsidDel="00000000" w:rsidP="00000000" w:rsidRDefault="00000000" w:rsidRPr="00000000" w14:paraId="00000003">
      <w:pPr>
        <w:rPr>
          <w:b w:val="1"/>
        </w:rPr>
      </w:pPr>
      <w:r w:rsidDel="00000000" w:rsidR="00000000" w:rsidRPr="00000000">
        <w:rPr>
          <w:b w:val="1"/>
          <w:rtl w:val="0"/>
        </w:rPr>
        <w:t xml:space="preserve">Vivek Booshan, Jay Luo, Parimala Vedula, Elizabeth Zuerblis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6">
      <w:pPr>
        <w:ind w:left="0" w:firstLine="0"/>
        <w:rPr/>
      </w:pPr>
      <w:r w:rsidDel="00000000" w:rsidR="00000000" w:rsidRPr="00000000">
        <w:rPr>
          <w:rtl w:val="0"/>
        </w:rPr>
        <w:t xml:space="preserve">Early prediction of potentially fatal septic shock is of enormous clinical value (</w:t>
      </w:r>
      <w:r w:rsidDel="00000000" w:rsidR="00000000" w:rsidRPr="00000000">
        <w:rPr>
          <w:b w:val="1"/>
          <w:rtl w:val="0"/>
        </w:rPr>
        <w:t xml:space="preserve">Angus et al., 2001; Liu et al., 2019</w:t>
      </w:r>
      <w:r w:rsidDel="00000000" w:rsidR="00000000" w:rsidRPr="00000000">
        <w:rPr>
          <w:rtl w:val="0"/>
        </w:rPr>
        <w:t xml:space="preserve">). </w:t>
      </w:r>
      <w:r w:rsidDel="00000000" w:rsidR="00000000" w:rsidRPr="00000000">
        <w:rPr>
          <w:rtl w:val="0"/>
        </w:rPr>
        <w:t xml:space="preserve">This project investigates the classification of septic shock using static and dynamic linear models to estimate the probability that a patient develops septic shock using multiple clinical features. All code used for this project is based on the instructor-provided MATLAB datasets and scripts.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sz w:val="28"/>
          <w:szCs w:val="28"/>
        </w:rPr>
      </w:pPr>
      <w:r w:rsidDel="00000000" w:rsidR="00000000" w:rsidRPr="00000000">
        <w:rPr>
          <w:b w:val="1"/>
          <w:sz w:val="28"/>
          <w:szCs w:val="28"/>
          <w:rtl w:val="0"/>
        </w:rPr>
        <w:t xml:space="preserve">Constructing the Generalized Linear Model (GLM)</w:t>
      </w:r>
    </w:p>
    <w:p w:rsidR="00000000" w:rsidDel="00000000" w:rsidP="00000000" w:rsidRDefault="00000000" w:rsidRPr="00000000" w14:paraId="00000009">
      <w:pPr>
        <w:ind w:left="0" w:firstLine="0"/>
        <w:rPr>
          <w:b w:val="1"/>
          <w:sz w:val="28"/>
          <w:szCs w:val="28"/>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Data Exploration</w:t>
      </w:r>
    </w:p>
    <w:p w:rsidR="00000000" w:rsidDel="00000000" w:rsidP="00000000" w:rsidRDefault="00000000" w:rsidRPr="00000000" w14:paraId="0000000B">
      <w:pPr>
        <w:rPr/>
      </w:pPr>
      <w:r w:rsidDel="00000000" w:rsidR="00000000" w:rsidRPr="00000000">
        <w:rPr>
          <w:rtl w:val="0"/>
        </w:rPr>
        <w:t xml:space="preserve">A GLM was used to determine the probability that a given patient has sepsis or not. The log-odds of entering septic shock can be written as a linear combination of learned model parameters (alphas) and the dataset features (x’s), where the first term (alpha_0) is the intercept term (1).</w:t>
      </w:r>
    </w:p>
    <w:p w:rsidR="00000000" w:rsidDel="00000000" w:rsidP="00000000" w:rsidRDefault="00000000" w:rsidRPr="00000000" w14:paraId="0000000C">
      <w:pPr>
        <w:jc w:val="center"/>
        <w:rPr>
          <w:sz w:val="28"/>
          <w:szCs w:val="28"/>
        </w:rPr>
      </w:pPr>
      <m:oMath>
        <m:r>
          <w:rPr>
            <w:sz w:val="28"/>
            <w:szCs w:val="28"/>
          </w:rPr>
          <m:t xml:space="preserve">ln(</m:t>
        </m:r>
        <m:f>
          <m:fPr>
            <m:ctrlPr>
              <w:rPr>
                <w:sz w:val="28"/>
                <w:szCs w:val="28"/>
              </w:rPr>
            </m:ctrlPr>
          </m:fPr>
          <m:num>
            <m:sSub>
              <m:sSubPr>
                <m:ctrlPr>
                  <w:rPr>
                    <w:sz w:val="28"/>
                    <w:szCs w:val="28"/>
                  </w:rPr>
                </m:ctrlPr>
              </m:sSubPr>
              <m:e>
                <m:r>
                  <w:rPr>
                    <w:sz w:val="28"/>
                    <w:szCs w:val="28"/>
                  </w:rPr>
                  <m:t xml:space="preserve">p</m:t>
                </m:r>
              </m:e>
              <m:sub>
                <m:r>
                  <w:rPr>
                    <w:sz w:val="28"/>
                    <w:szCs w:val="28"/>
                  </w:rPr>
                  <m:t xml:space="preserve">i</m:t>
                </m:r>
              </m:sub>
            </m:sSub>
          </m:num>
          <m:den>
            <m:r>
              <w:rPr>
                <w:sz w:val="28"/>
                <w:szCs w:val="28"/>
              </w:rPr>
              <m:t xml:space="preserve">1- </m:t>
            </m:r>
            <m:sSub>
              <m:sSubPr>
                <m:ctrlPr>
                  <w:rPr>
                    <w:sz w:val="28"/>
                    <w:szCs w:val="28"/>
                  </w:rPr>
                </m:ctrlPr>
              </m:sSubPr>
              <m:e>
                <m:r>
                  <w:rPr>
                    <w:sz w:val="28"/>
                    <w:szCs w:val="28"/>
                  </w:rPr>
                  <m:t xml:space="preserve">p</m:t>
                </m:r>
              </m:e>
              <m:sub>
                <m:r>
                  <w:rPr>
                    <w:sz w:val="28"/>
                    <w:szCs w:val="28"/>
                  </w:rPr>
                  <m:t xml:space="preserve">i</m:t>
                </m:r>
              </m:sub>
            </m:sSub>
          </m:den>
        </m:f>
        <m:r>
          <w:rPr>
            <w:sz w:val="28"/>
            <w:szCs w:val="28"/>
          </w:rPr>
          <m:t xml:space="preserve">)= </m:t>
        </m:r>
        <m:sSub>
          <m:sSubPr>
            <m:ctrlPr>
              <w:rPr>
                <w:sz w:val="28"/>
                <w:szCs w:val="28"/>
              </w:rPr>
            </m:ctrlPr>
          </m:sSubPr>
          <m:e>
            <m:r>
              <w:rPr>
                <w:sz w:val="28"/>
                <w:szCs w:val="28"/>
              </w:rPr>
              <m:t>α</m:t>
            </m:r>
          </m:e>
          <m:sub>
            <m:r>
              <w:rPr>
                <w:sz w:val="28"/>
                <w:szCs w:val="28"/>
              </w:rPr>
              <m:t xml:space="preserve">0</m:t>
            </m:r>
          </m:sub>
        </m:sSub>
        <m:r>
          <w:rPr>
            <w:sz w:val="28"/>
            <w:szCs w:val="28"/>
          </w:rPr>
          <m:t xml:space="preserve">+</m:t>
        </m:r>
        <m:sSub>
          <m:sSubPr>
            <m:ctrlPr>
              <w:rPr>
                <w:sz w:val="28"/>
                <w:szCs w:val="28"/>
              </w:rPr>
            </m:ctrlPr>
          </m:sSubPr>
          <m:e>
            <m:r>
              <w:rPr>
                <w:sz w:val="28"/>
                <w:szCs w:val="28"/>
              </w:rPr>
              <m:t>α</m:t>
            </m:r>
          </m:e>
          <m:sub>
            <m:r>
              <w:rPr>
                <w:sz w:val="28"/>
                <w:szCs w:val="28"/>
              </w:rPr>
              <m:t xml:space="preserve">1</m:t>
            </m:r>
          </m:sub>
        </m:sSub>
        <m:sSub>
          <m:sSubPr>
            <m:ctrlPr>
              <w:rPr>
                <w:sz w:val="28"/>
                <w:szCs w:val="28"/>
              </w:rPr>
            </m:ctrlPr>
          </m:sSubPr>
          <m:e>
            <m:r>
              <w:rPr>
                <w:sz w:val="28"/>
                <w:szCs w:val="28"/>
              </w:rPr>
              <m:t xml:space="preserve">x</m:t>
            </m:r>
          </m:e>
          <m:sub>
            <m:r>
              <w:rPr>
                <w:sz w:val="28"/>
                <w:szCs w:val="28"/>
              </w:rPr>
              <m:t xml:space="preserve">1</m:t>
            </m:r>
          </m:sub>
        </m:sSub>
        <m:r>
          <w:rPr>
            <w:sz w:val="28"/>
            <w:szCs w:val="28"/>
          </w:rPr>
          <m:t xml:space="preserve">+</m:t>
        </m:r>
        <m:sSub>
          <m:sSubPr>
            <m:ctrlPr>
              <w:rPr>
                <w:sz w:val="28"/>
                <w:szCs w:val="28"/>
              </w:rPr>
            </m:ctrlPr>
          </m:sSubPr>
          <m:e>
            <m:r>
              <w:rPr>
                <w:sz w:val="28"/>
                <w:szCs w:val="28"/>
              </w:rPr>
              <m:t>α</m:t>
            </m:r>
          </m:e>
          <m:sub>
            <m:r>
              <w:rPr>
                <w:sz w:val="28"/>
                <w:szCs w:val="28"/>
              </w:rPr>
              <m:t xml:space="preserve">2</m:t>
            </m:r>
          </m:sub>
        </m:sSub>
        <m:sSub>
          <m:sSubPr>
            <m:ctrlPr>
              <w:rPr>
                <w:sz w:val="28"/>
                <w:szCs w:val="28"/>
              </w:rPr>
            </m:ctrlPr>
          </m:sSubPr>
          <m:e>
            <m:r>
              <w:rPr>
                <w:sz w:val="28"/>
                <w:szCs w:val="28"/>
              </w:rPr>
              <m:t xml:space="preserve">x</m:t>
            </m:r>
          </m:e>
          <m:sub>
            <m:r>
              <w:rPr>
                <w:sz w:val="28"/>
                <w:szCs w:val="28"/>
              </w:rPr>
              <m:t xml:space="preserve">2</m:t>
            </m:r>
          </m:sub>
        </m:sSub>
        <m:r>
          <w:rPr>
            <w:sz w:val="28"/>
            <w:szCs w:val="28"/>
          </w:rPr>
          <m:t xml:space="preserve">+</m:t>
        </m:r>
        <m:sSub>
          <m:sSubPr>
            <m:ctrlPr>
              <w:rPr>
                <w:sz w:val="28"/>
                <w:szCs w:val="28"/>
              </w:rPr>
            </m:ctrlPr>
          </m:sSubPr>
          <m:e>
            <m:r>
              <w:rPr>
                <w:sz w:val="28"/>
                <w:szCs w:val="28"/>
              </w:rPr>
              <m:t>α</m:t>
            </m:r>
          </m:e>
          <m:sub>
            <m:r>
              <w:rPr>
                <w:sz w:val="28"/>
                <w:szCs w:val="28"/>
              </w:rPr>
              <m:t xml:space="preserve">3</m:t>
            </m:r>
          </m:sub>
        </m:sSub>
        <m:sSub>
          <m:sSubPr>
            <m:ctrlPr>
              <w:rPr>
                <w:sz w:val="28"/>
                <w:szCs w:val="28"/>
              </w:rPr>
            </m:ctrlPr>
          </m:sSubPr>
          <m:e>
            <m:r>
              <w:rPr>
                <w:sz w:val="28"/>
                <w:szCs w:val="28"/>
              </w:rPr>
              <m:t xml:space="preserve">x</m:t>
            </m:r>
          </m:e>
          <m:sub>
            <m:r>
              <w:rPr>
                <w:sz w:val="28"/>
                <w:szCs w:val="28"/>
              </w:rPr>
              <m:t xml:space="preserve">3</m:t>
            </m:r>
          </m:sub>
        </m:sSub>
        <m:r>
          <w:rPr>
            <w:sz w:val="28"/>
            <w:szCs w:val="28"/>
          </w:rPr>
          <m:t xml:space="preserve">+ ...  </m:t>
        </m:r>
      </m:oMath>
      <w:r w:rsidDel="00000000" w:rsidR="00000000" w:rsidRPr="00000000">
        <w:rPr>
          <w:sz w:val="28"/>
          <w:szCs w:val="28"/>
          <w:rtl w:val="0"/>
        </w:rPr>
        <w:t xml:space="preserve"> (1)</w:t>
      </w:r>
    </w:p>
    <w:p w:rsidR="00000000" w:rsidDel="00000000" w:rsidP="00000000" w:rsidRDefault="00000000" w:rsidRPr="00000000" w14:paraId="0000000D">
      <w:pPr>
        <w:jc w:val="left"/>
        <w:rPr>
          <w:b w:val="1"/>
        </w:rPr>
      </w:pPr>
      <w:r w:rsidDel="00000000" w:rsidR="00000000" w:rsidRPr="00000000">
        <w:rPr>
          <w:rtl w:val="0"/>
        </w:rPr>
        <w:t xml:space="preserve">The following variables from the clinical dataset were used as features in the GLM model to separate sepsis from non-sepsis patients. The static features are as specified in the project assignment PDF.</w:t>
      </w: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ab/>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Static Model</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After training the GLM, our static model performs well with an AUROC of around 0.79. We chose to exclude gender and age in our model predictions as this resulted in a greater AUROC (i.e. more robust classifications) than including all static features.</w:t>
      </w:r>
    </w:p>
    <w:p w:rsidR="00000000" w:rsidDel="00000000" w:rsidP="00000000" w:rsidRDefault="00000000" w:rsidRPr="00000000" w14:paraId="00000024">
      <w:pPr>
        <w:ind w:left="0" w:firstLine="0"/>
        <w:jc w:val="center"/>
        <w:rPr>
          <w:sz w:val="34"/>
          <w:szCs w:val="34"/>
        </w:rPr>
      </w:pPr>
      <w:r w:rsidDel="00000000" w:rsidR="00000000" w:rsidRPr="00000000">
        <w:rPr>
          <w:sz w:val="34"/>
          <w:szCs w:val="34"/>
        </w:rPr>
        <w:drawing>
          <wp:inline distB="114300" distT="114300" distL="114300" distR="114300">
            <wp:extent cx="4308915" cy="3490913"/>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08915"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jc w:val="center"/>
        <w:rPr>
          <w:b w:val="1"/>
          <w:i w:val="1"/>
        </w:rPr>
      </w:pPr>
      <w:r w:rsidDel="00000000" w:rsidR="00000000" w:rsidRPr="00000000">
        <w:rPr>
          <w:b w:val="1"/>
          <w:i w:val="1"/>
          <w:rtl w:val="0"/>
        </w:rPr>
        <w:t xml:space="preserve">Figure 1: </w:t>
      </w:r>
      <w:r w:rsidDel="00000000" w:rsidR="00000000" w:rsidRPr="00000000">
        <w:rPr>
          <w:b w:val="1"/>
          <w:i w:val="1"/>
          <w:rtl w:val="0"/>
        </w:rPr>
        <w:t xml:space="preserve">p_hat (predicted probabilities) with 95% confidence intervals for first 30 patients of static training set</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b w:val="1"/>
          <w:rtl w:val="0"/>
        </w:rPr>
        <w:t xml:space="preserve">Learned parameters: static model</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Our trained parameters with 95% confidence are (LB = lower bound; UB = upper bound):</w:t>
      </w:r>
    </w:p>
    <w:p w:rsidR="00000000" w:rsidDel="00000000" w:rsidP="00000000" w:rsidRDefault="00000000" w:rsidRPr="00000000" w14:paraId="0000002A">
      <w:pPr>
        <w:ind w:left="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Coefficient estimate (LB, </w:t>
            </w:r>
            <w:r w:rsidDel="00000000" w:rsidR="00000000" w:rsidRPr="00000000">
              <w:rPr>
                <w:b w:val="1"/>
                <w:highlight w:val="yellow"/>
                <w:rtl w:val="0"/>
              </w:rPr>
              <w:t xml:space="preserve">Beta</w:t>
            </w:r>
            <w:r w:rsidDel="00000000" w:rsidR="00000000" w:rsidRPr="00000000">
              <w:rPr>
                <w:b w:val="1"/>
                <w:rtl w:val="0"/>
              </w:rPr>
              <w:t xml:space="preserve">, 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Intercept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(-1.0721,</w:t>
            </w:r>
            <w:r w:rsidDel="00000000" w:rsidR="00000000" w:rsidRPr="00000000">
              <w:rPr>
                <w:highlight w:val="yellow"/>
                <w:rtl w:val="0"/>
              </w:rPr>
              <w:t xml:space="preserve"> </w:t>
            </w:r>
            <w:r w:rsidDel="00000000" w:rsidR="00000000" w:rsidRPr="00000000">
              <w:rPr>
                <w:b w:val="1"/>
                <w:highlight w:val="yellow"/>
                <w:rtl w:val="0"/>
              </w:rPr>
              <w:t xml:space="preserve">-0.8265</w:t>
            </w:r>
            <w:r w:rsidDel="00000000" w:rsidR="00000000" w:rsidRPr="00000000">
              <w:rPr>
                <w:rtl w:val="0"/>
              </w:rPr>
              <w:t xml:space="preserve">, -0.5809)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Respiratory Comorbidities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(1.5832, </w:t>
            </w:r>
            <w:r w:rsidDel="00000000" w:rsidR="00000000" w:rsidRPr="00000000">
              <w:rPr>
                <w:b w:val="1"/>
                <w:highlight w:val="yellow"/>
                <w:rtl w:val="0"/>
              </w:rPr>
              <w:t xml:space="preserve">2.0480</w:t>
            </w:r>
            <w:r w:rsidDel="00000000" w:rsidR="00000000" w:rsidRPr="00000000">
              <w:rPr>
                <w:b w:val="1"/>
                <w:rtl w:val="0"/>
              </w:rPr>
              <w:t xml:space="preserve">, </w:t>
            </w:r>
            <w:r w:rsidDel="00000000" w:rsidR="00000000" w:rsidRPr="00000000">
              <w:rPr>
                <w:rtl w:val="0"/>
              </w:rPr>
              <w:t xml:space="preserve"> 2.5128)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Heart Comorbidities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(0.1643, </w:t>
            </w:r>
            <w:r w:rsidDel="00000000" w:rsidR="00000000" w:rsidRPr="00000000">
              <w:rPr>
                <w:b w:val="1"/>
                <w:highlight w:val="yellow"/>
                <w:rtl w:val="0"/>
              </w:rPr>
              <w:t xml:space="preserve">0.5399</w:t>
            </w:r>
            <w:r w:rsidDel="00000000" w:rsidR="00000000" w:rsidRPr="00000000">
              <w:rPr>
                <w:rtl w:val="0"/>
              </w:rPr>
              <w:t xml:space="preserve">, 0.9154)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Infection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(1.1030, </w:t>
            </w:r>
            <w:r w:rsidDel="00000000" w:rsidR="00000000" w:rsidRPr="00000000">
              <w:rPr>
                <w:b w:val="1"/>
                <w:highlight w:val="yellow"/>
                <w:rtl w:val="0"/>
              </w:rPr>
              <w:t xml:space="preserve">1.4940</w:t>
            </w:r>
            <w:r w:rsidDel="00000000" w:rsidR="00000000" w:rsidRPr="00000000">
              <w:rPr>
                <w:rtl w:val="0"/>
              </w:rPr>
              <w:t xml:space="preserve">, 1.8850)</w:t>
            </w:r>
          </w:p>
        </w:tc>
      </w:tr>
    </w:tbl>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ab/>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Dynamic Model</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For the dynamic GLM, the following equation was used where p(t) is the probability the patient has sepsis at time t as a function of the patient features (x_i) (2).</w:t>
      </w:r>
    </w:p>
    <w:p w:rsidR="00000000" w:rsidDel="00000000" w:rsidP="00000000" w:rsidRDefault="00000000" w:rsidRPr="00000000" w14:paraId="0000003C">
      <w:pPr>
        <w:ind w:left="720" w:firstLine="0"/>
        <w:jc w:val="center"/>
        <w:rPr/>
      </w:pPr>
      <m:oMath>
        <m:r>
          <w:rPr>
            <w:sz w:val="28"/>
            <w:szCs w:val="28"/>
          </w:rPr>
          <m:t xml:space="preserve">ln(</m:t>
        </m:r>
        <m:f>
          <m:fPr>
            <m:ctrlPr>
              <w:rPr>
                <w:sz w:val="28"/>
                <w:szCs w:val="28"/>
              </w:rPr>
            </m:ctrlPr>
          </m:fPr>
          <m:num>
            <m:r>
              <w:rPr>
                <w:sz w:val="28"/>
                <w:szCs w:val="28"/>
              </w:rPr>
              <m:t xml:space="preserve">p(t)</m:t>
            </m:r>
          </m:num>
          <m:den>
            <m:r>
              <w:rPr>
                <w:sz w:val="28"/>
                <w:szCs w:val="28"/>
              </w:rPr>
              <m:t xml:space="preserve">1- p(t)</m:t>
            </m:r>
          </m:den>
        </m:f>
        <m:r>
          <w:rPr>
            <w:sz w:val="28"/>
            <w:szCs w:val="28"/>
          </w:rPr>
          <m:t xml:space="preserve">)= </m:t>
        </m:r>
        <m:sSub>
          <m:sSubPr>
            <m:ctrlPr>
              <w:rPr>
                <w:sz w:val="28"/>
                <w:szCs w:val="28"/>
              </w:rPr>
            </m:ctrlPr>
          </m:sSubPr>
          <m:e>
            <m:r>
              <w:rPr>
                <w:sz w:val="28"/>
                <w:szCs w:val="28"/>
              </w:rPr>
              <m:t>α</m:t>
            </m:r>
          </m:e>
          <m:sub>
            <m:r>
              <w:rPr>
                <w:sz w:val="28"/>
                <w:szCs w:val="28"/>
              </w:rPr>
              <m:t xml:space="preserve">0</m:t>
            </m:r>
          </m:sub>
        </m:sSub>
        <m:r>
          <w:rPr>
            <w:sz w:val="28"/>
            <w:szCs w:val="28"/>
          </w:rPr>
          <m:t xml:space="preserve">+</m:t>
        </m:r>
        <m:sSub>
          <m:sSubPr>
            <m:ctrlPr>
              <w:rPr>
                <w:sz w:val="28"/>
                <w:szCs w:val="28"/>
              </w:rPr>
            </m:ctrlPr>
          </m:sSubPr>
          <m:e>
            <m:r>
              <w:rPr>
                <w:sz w:val="28"/>
                <w:szCs w:val="28"/>
              </w:rPr>
              <m:t>α</m:t>
            </m:r>
          </m:e>
          <m:sub>
            <m:r>
              <w:rPr>
                <w:sz w:val="28"/>
                <w:szCs w:val="28"/>
              </w:rPr>
              <m:t xml:space="preserve">1</m:t>
            </m:r>
          </m:sub>
        </m:sSub>
        <m:sSub>
          <m:sSubPr>
            <m:ctrlPr>
              <w:rPr>
                <w:sz w:val="28"/>
                <w:szCs w:val="28"/>
              </w:rPr>
            </m:ctrlPr>
          </m:sSubPr>
          <m:e>
            <m:r>
              <w:rPr>
                <w:sz w:val="28"/>
                <w:szCs w:val="28"/>
              </w:rPr>
              <m:t xml:space="preserve">x</m:t>
            </m:r>
          </m:e>
          <m:sub>
            <m:r>
              <w:rPr>
                <w:sz w:val="28"/>
                <w:szCs w:val="28"/>
              </w:rPr>
              <m:t xml:space="preserve">1</m:t>
            </m:r>
          </m:sub>
        </m:sSub>
        <m:r>
          <w:rPr>
            <w:sz w:val="28"/>
            <w:szCs w:val="28"/>
          </w:rPr>
          <m:t xml:space="preserve">(t)+</m:t>
        </m:r>
        <m:sSub>
          <m:sSubPr>
            <m:ctrlPr>
              <w:rPr>
                <w:sz w:val="28"/>
                <w:szCs w:val="28"/>
              </w:rPr>
            </m:ctrlPr>
          </m:sSubPr>
          <m:e>
            <m:r>
              <w:rPr>
                <w:sz w:val="28"/>
                <w:szCs w:val="28"/>
              </w:rPr>
              <m:t>α</m:t>
            </m:r>
          </m:e>
          <m:sub>
            <m:r>
              <w:rPr>
                <w:sz w:val="28"/>
                <w:szCs w:val="28"/>
              </w:rPr>
              <m:t xml:space="preserve">2</m:t>
            </m:r>
          </m:sub>
        </m:sSub>
        <m:sSub>
          <m:sSubPr>
            <m:ctrlPr>
              <w:rPr>
                <w:sz w:val="28"/>
                <w:szCs w:val="28"/>
              </w:rPr>
            </m:ctrlPr>
          </m:sSubPr>
          <m:e>
            <m:r>
              <w:rPr>
                <w:sz w:val="28"/>
                <w:szCs w:val="28"/>
              </w:rPr>
              <m:t xml:space="preserve">x</m:t>
            </m:r>
          </m:e>
          <m:sub>
            <m:r>
              <w:rPr>
                <w:sz w:val="28"/>
                <w:szCs w:val="28"/>
              </w:rPr>
              <m:t xml:space="preserve">2</m:t>
            </m:r>
          </m:sub>
        </m:sSub>
        <m:r>
          <w:rPr>
            <w:sz w:val="28"/>
            <w:szCs w:val="28"/>
          </w:rPr>
          <m:t xml:space="preserve">(t)+</m:t>
        </m:r>
        <m:sSub>
          <m:sSubPr>
            <m:ctrlPr>
              <w:rPr>
                <w:sz w:val="28"/>
                <w:szCs w:val="28"/>
              </w:rPr>
            </m:ctrlPr>
          </m:sSubPr>
          <m:e>
            <m:r>
              <w:rPr>
                <w:sz w:val="28"/>
                <w:szCs w:val="28"/>
              </w:rPr>
              <m:t>α</m:t>
            </m:r>
          </m:e>
          <m:sub>
            <m:r>
              <w:rPr>
                <w:sz w:val="28"/>
                <w:szCs w:val="28"/>
              </w:rPr>
              <m:t xml:space="preserve">3</m:t>
            </m:r>
          </m:sub>
        </m:sSub>
        <m:sSub>
          <m:sSubPr>
            <m:ctrlPr>
              <w:rPr>
                <w:sz w:val="28"/>
                <w:szCs w:val="28"/>
              </w:rPr>
            </m:ctrlPr>
          </m:sSubPr>
          <m:e>
            <m:r>
              <w:rPr>
                <w:sz w:val="28"/>
                <w:szCs w:val="28"/>
              </w:rPr>
              <m:t xml:space="preserve">x</m:t>
            </m:r>
          </m:e>
          <m:sub>
            <m:r>
              <w:rPr>
                <w:sz w:val="28"/>
                <w:szCs w:val="28"/>
              </w:rPr>
              <m:t xml:space="preserve">3</m:t>
            </m:r>
          </m:sub>
        </m:sSub>
        <m:r>
          <w:rPr>
            <w:sz w:val="28"/>
            <w:szCs w:val="28"/>
          </w:rPr>
          <m:t xml:space="preserve">(t)+ ...</m:t>
        </m:r>
      </m:oMath>
      <w:r w:rsidDel="00000000" w:rsidR="00000000" w:rsidRPr="00000000">
        <w:rPr>
          <w:sz w:val="28"/>
          <w:szCs w:val="28"/>
          <w:rtl w:val="0"/>
        </w:rPr>
        <w:t xml:space="preserve"> (2)</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We chose not to exclude any dynamic variables, following Liu et al. (2019)’s conclusion of the importance of these dynamic features. We also believe all of these variables to be physiologically relevant and important for generalizable dynamic GLMs for septic shock prediction.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The decision rule for Phat uses Matlab’s OPTROCPT, which provides the optimal operating point of an ROC by finding the slope of the cost of misclassification.</w:t>
      </w:r>
    </w:p>
    <w:p w:rsidR="00000000" w:rsidDel="00000000" w:rsidP="00000000" w:rsidRDefault="00000000" w:rsidRPr="00000000" w14:paraId="00000041">
      <w:pPr>
        <w:ind w:left="0" w:firstLine="0"/>
        <w:jc w:val="center"/>
        <w:rPr>
          <w:b w:val="1"/>
        </w:rPr>
      </w:pPr>
      <w:commentRangeStart w:id="0"/>
      <w:r w:rsidDel="00000000" w:rsidR="00000000" w:rsidRPr="00000000">
        <w:rPr>
          <w:b w:val="1"/>
        </w:rPr>
        <w:drawing>
          <wp:inline distB="114300" distT="114300" distL="114300" distR="114300">
            <wp:extent cx="4833586" cy="394278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33586" cy="3942781"/>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2">
      <w:pPr>
        <w:ind w:left="0" w:firstLine="720"/>
        <w:jc w:val="center"/>
        <w:rPr>
          <w:b w:val="1"/>
          <w:i w:val="1"/>
        </w:rPr>
      </w:pPr>
      <w:r w:rsidDel="00000000" w:rsidR="00000000" w:rsidRPr="00000000">
        <w:rPr>
          <w:b w:val="1"/>
          <w:i w:val="1"/>
          <w:rtl w:val="0"/>
        </w:rPr>
        <w:t xml:space="preserve">Figure 2: predicted septic shock probabilities (p_hat) values (by dynamic model) for dynamic training set</w:t>
      </w:r>
    </w:p>
    <w:p w:rsidR="00000000" w:rsidDel="00000000" w:rsidP="00000000" w:rsidRDefault="00000000" w:rsidRPr="00000000" w14:paraId="00000043">
      <w:pPr>
        <w:ind w:left="0" w:firstLine="0"/>
        <w:jc w:val="center"/>
        <w:rPr>
          <w:b w:val="1"/>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b w:val="1"/>
          <w:rtl w:val="0"/>
        </w:rPr>
        <w:t xml:space="preserve">Learned parameters: dynamic model</w:t>
      </w:r>
    </w:p>
    <w:p w:rsidR="00000000" w:rsidDel="00000000" w:rsidP="00000000" w:rsidRDefault="00000000" w:rsidRPr="00000000" w14:paraId="00000047">
      <w:pPr>
        <w:ind w:left="720" w:firstLine="0"/>
        <w:rPr/>
      </w:pPr>
      <w:r w:rsidDel="00000000" w:rsidR="00000000" w:rsidRPr="00000000">
        <w:rPr>
          <w:rtl w:val="0"/>
        </w:rPr>
        <w:t xml:space="preserve">Our trained parameters with 95% confidence are (parameters as in project assignment PDF):</w:t>
      </w:r>
    </w:p>
    <w:p w:rsidR="00000000" w:rsidDel="00000000" w:rsidP="00000000" w:rsidRDefault="00000000" w:rsidRPr="00000000" w14:paraId="00000048">
      <w:pPr>
        <w:ind w:left="72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Coefficient estimate (LB, </w:t>
            </w:r>
            <w:r w:rsidDel="00000000" w:rsidR="00000000" w:rsidRPr="00000000">
              <w:rPr>
                <w:b w:val="1"/>
                <w:highlight w:val="yellow"/>
                <w:rtl w:val="0"/>
              </w:rPr>
              <w:t xml:space="preserve">Beta</w:t>
            </w:r>
            <w:r w:rsidDel="00000000" w:rsidR="00000000" w:rsidRPr="00000000">
              <w:rPr>
                <w:b w:val="1"/>
                <w:rtl w:val="0"/>
              </w:rPr>
              <w:t xml:space="preserve">, 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Intercept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(-0.8276, </w:t>
            </w:r>
            <w:r w:rsidDel="00000000" w:rsidR="00000000" w:rsidRPr="00000000">
              <w:rPr>
                <w:b w:val="1"/>
                <w:highlight w:val="yellow"/>
                <w:rtl w:val="0"/>
              </w:rPr>
              <w:t xml:space="preserve">-0.7550</w:t>
            </w:r>
            <w:r w:rsidDel="00000000" w:rsidR="00000000" w:rsidRPr="00000000">
              <w:rPr>
                <w:rtl w:val="0"/>
              </w:rPr>
              <w:t xml:space="preserve">, -0.6824)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w:t>
            </w:r>
            <w:r w:rsidDel="00000000" w:rsidR="00000000" w:rsidRPr="00000000">
              <w:rPr>
                <w:b w:val="1"/>
                <w:color w:val="0000ff"/>
                <w:rtl w:val="0"/>
              </w:rPr>
              <w:t xml:space="preserve">Static</w:t>
            </w:r>
            <w:r w:rsidDel="00000000" w:rsidR="00000000" w:rsidRPr="00000000">
              <w:rPr>
                <w:rtl w:val="0"/>
              </w:rPr>
              <w:t xml:space="preserve">] Respiratory Comorbidities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(1.8157, </w:t>
            </w:r>
            <w:r w:rsidDel="00000000" w:rsidR="00000000" w:rsidRPr="00000000">
              <w:rPr>
                <w:b w:val="1"/>
                <w:highlight w:val="yellow"/>
                <w:rtl w:val="0"/>
              </w:rPr>
              <w:t xml:space="preserve">1.8443</w:t>
            </w:r>
            <w:r w:rsidDel="00000000" w:rsidR="00000000" w:rsidRPr="00000000">
              <w:rPr>
                <w:rtl w:val="0"/>
              </w:rPr>
              <w:t xml:space="preserve">, 1.8728)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t>
            </w:r>
            <w:r w:rsidDel="00000000" w:rsidR="00000000" w:rsidRPr="00000000">
              <w:rPr>
                <w:b w:val="1"/>
                <w:color w:val="0000ff"/>
                <w:rtl w:val="0"/>
              </w:rPr>
              <w:t xml:space="preserve">Static</w:t>
            </w:r>
            <w:r w:rsidDel="00000000" w:rsidR="00000000" w:rsidRPr="00000000">
              <w:rPr>
                <w:rtl w:val="0"/>
              </w:rPr>
              <w:t xml:space="preserve">] Heart Comorbidities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(0.0260</w:t>
            </w:r>
            <w:r w:rsidDel="00000000" w:rsidR="00000000" w:rsidRPr="00000000">
              <w:rPr>
                <w:b w:val="1"/>
                <w:rtl w:val="0"/>
              </w:rPr>
              <w:t xml:space="preserve">, </w:t>
            </w:r>
            <w:r w:rsidDel="00000000" w:rsidR="00000000" w:rsidRPr="00000000">
              <w:rPr>
                <w:b w:val="1"/>
                <w:highlight w:val="yellow"/>
                <w:rtl w:val="0"/>
              </w:rPr>
              <w:t xml:space="preserve">0.0506</w:t>
            </w:r>
            <w:r w:rsidDel="00000000" w:rsidR="00000000" w:rsidRPr="00000000">
              <w:rPr>
                <w:b w:val="1"/>
                <w:rtl w:val="0"/>
              </w:rPr>
              <w:t xml:space="preserve">, </w:t>
            </w:r>
            <w:r w:rsidDel="00000000" w:rsidR="00000000" w:rsidRPr="00000000">
              <w:rPr>
                <w:rtl w:val="0"/>
              </w:rPr>
              <w:t xml:space="preserve">0.0752)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w:t>
            </w:r>
            <w:r w:rsidDel="00000000" w:rsidR="00000000" w:rsidRPr="00000000">
              <w:rPr>
                <w:b w:val="1"/>
                <w:color w:val="0000ff"/>
                <w:rtl w:val="0"/>
              </w:rPr>
              <w:t xml:space="preserve">Static</w:t>
            </w:r>
            <w:r w:rsidDel="00000000" w:rsidR="00000000" w:rsidRPr="00000000">
              <w:rPr>
                <w:rtl w:val="0"/>
              </w:rPr>
              <w:t xml:space="preserve">] Infection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(0.8641,</w:t>
            </w:r>
            <w:r w:rsidDel="00000000" w:rsidR="00000000" w:rsidRPr="00000000">
              <w:rPr>
                <w:b w:val="1"/>
                <w:rtl w:val="0"/>
              </w:rPr>
              <w:t xml:space="preserve"> </w:t>
            </w:r>
            <w:r w:rsidDel="00000000" w:rsidR="00000000" w:rsidRPr="00000000">
              <w:rPr>
                <w:b w:val="1"/>
                <w:highlight w:val="yellow"/>
                <w:rtl w:val="0"/>
              </w:rPr>
              <w:t xml:space="preserve">0.8890</w:t>
            </w:r>
            <w:r w:rsidDel="00000000" w:rsidR="00000000" w:rsidRPr="00000000">
              <w:rPr>
                <w:b w:val="1"/>
                <w:rtl w:val="0"/>
              </w:rPr>
              <w:t xml:space="preserve">, </w:t>
            </w:r>
            <w:r w:rsidDel="00000000" w:rsidR="00000000" w:rsidRPr="00000000">
              <w:rPr>
                <w:rtl w:val="0"/>
              </w:rPr>
              <w:t xml:space="preserve">0.9138)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t>
            </w:r>
            <w:r w:rsidDel="00000000" w:rsidR="00000000" w:rsidRPr="00000000">
              <w:rPr>
                <w:b w:val="1"/>
                <w:rtl w:val="0"/>
              </w:rPr>
              <w:t xml:space="preserve">Dynamic</w:t>
            </w:r>
            <w:r w:rsidDel="00000000" w:rsidR="00000000" w:rsidRPr="00000000">
              <w:rPr>
                <w:rtl w:val="0"/>
              </w:rPr>
              <w:t xml:space="preserve">] Lactate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(-0.1071, </w:t>
            </w:r>
            <w:r w:rsidDel="00000000" w:rsidR="00000000" w:rsidRPr="00000000">
              <w:rPr>
                <w:b w:val="1"/>
                <w:highlight w:val="yellow"/>
                <w:rtl w:val="0"/>
              </w:rPr>
              <w:t xml:space="preserve">-0.1016</w:t>
            </w:r>
            <w:r w:rsidDel="00000000" w:rsidR="00000000" w:rsidRPr="00000000">
              <w:rPr>
                <w:rtl w:val="0"/>
              </w:rPr>
              <w:t xml:space="preserve">, -0.0962)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w:t>
            </w:r>
            <w:r w:rsidDel="00000000" w:rsidR="00000000" w:rsidRPr="00000000">
              <w:rPr>
                <w:b w:val="1"/>
                <w:rtl w:val="0"/>
              </w:rPr>
              <w:t xml:space="preserve">Dynamic</w:t>
            </w:r>
            <w:r w:rsidDel="00000000" w:rsidR="00000000" w:rsidRPr="00000000">
              <w:rPr>
                <w:rtl w:val="0"/>
              </w:rPr>
              <w:t xml:space="preserve">] Cardiovascular SOFA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(-0.5241, </w:t>
            </w:r>
            <w:r w:rsidDel="00000000" w:rsidR="00000000" w:rsidRPr="00000000">
              <w:rPr>
                <w:b w:val="1"/>
                <w:highlight w:val="yellow"/>
                <w:rtl w:val="0"/>
              </w:rPr>
              <w:t xml:space="preserve">0.5374</w:t>
            </w:r>
            <w:r w:rsidDel="00000000" w:rsidR="00000000" w:rsidRPr="00000000">
              <w:rPr>
                <w:b w:val="1"/>
                <w:rtl w:val="0"/>
              </w:rPr>
              <w:t xml:space="preserve">, </w:t>
            </w:r>
            <w:r w:rsidDel="00000000" w:rsidR="00000000" w:rsidRPr="00000000">
              <w:rPr>
                <w:rtl w:val="0"/>
              </w:rPr>
              <w:t xml:space="preserve">0.5507)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w:t>
            </w:r>
            <w:r w:rsidDel="00000000" w:rsidR="00000000" w:rsidRPr="00000000">
              <w:rPr>
                <w:b w:val="1"/>
                <w:rtl w:val="0"/>
              </w:rPr>
              <w:t xml:space="preserve">Dynamic</w:t>
            </w:r>
            <w:r w:rsidDel="00000000" w:rsidR="00000000" w:rsidRPr="00000000">
              <w:rPr>
                <w:rtl w:val="0"/>
              </w:rPr>
              <w:t xml:space="preserve">] 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(-0.0513, </w:t>
            </w:r>
            <w:r w:rsidDel="00000000" w:rsidR="00000000" w:rsidRPr="00000000">
              <w:rPr>
                <w:b w:val="1"/>
                <w:highlight w:val="yellow"/>
                <w:rtl w:val="0"/>
              </w:rPr>
              <w:t xml:space="preserve">-0.0475</w:t>
            </w:r>
            <w:r w:rsidDel="00000000" w:rsidR="00000000" w:rsidRPr="00000000">
              <w:rPr>
                <w:rtl w:val="0"/>
              </w:rPr>
              <w:t xml:space="preserve">, -0.0437)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w:t>
            </w:r>
            <w:r w:rsidDel="00000000" w:rsidR="00000000" w:rsidRPr="00000000">
              <w:rPr>
                <w:b w:val="1"/>
                <w:rtl w:val="0"/>
              </w:rPr>
              <w:t xml:space="preserve">Dynamic</w:t>
            </w:r>
            <w:r w:rsidDel="00000000" w:rsidR="00000000" w:rsidRPr="00000000">
              <w:rPr>
                <w:rtl w:val="0"/>
              </w:rPr>
              <w:t xml:space="preserve">] Heart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(0.0176, </w:t>
            </w:r>
            <w:r w:rsidDel="00000000" w:rsidR="00000000" w:rsidRPr="00000000">
              <w:rPr>
                <w:b w:val="1"/>
                <w:highlight w:val="yellow"/>
                <w:rtl w:val="0"/>
              </w:rPr>
              <w:t xml:space="preserve">0.0182</w:t>
            </w:r>
            <w:r w:rsidDel="00000000" w:rsidR="00000000" w:rsidRPr="00000000">
              <w:rPr>
                <w:rtl w:val="0"/>
              </w:rPr>
              <w:t xml:space="preserve">, 0.0189)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w:t>
            </w:r>
            <w:r w:rsidDel="00000000" w:rsidR="00000000" w:rsidRPr="00000000">
              <w:rPr>
                <w:b w:val="1"/>
                <w:rtl w:val="0"/>
              </w:rPr>
              <w:t xml:space="preserve">Dynamic</w:t>
            </w:r>
            <w:r w:rsidDel="00000000" w:rsidR="00000000" w:rsidRPr="00000000">
              <w:rPr>
                <w:rtl w:val="0"/>
              </w:rPr>
              <w:t xml:space="preserve">] Partial pressure of oxygen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(-0.0021, </w:t>
            </w:r>
            <w:r w:rsidDel="00000000" w:rsidR="00000000" w:rsidRPr="00000000">
              <w:rPr>
                <w:b w:val="1"/>
                <w:highlight w:val="yellow"/>
                <w:rtl w:val="0"/>
              </w:rPr>
              <w:t xml:space="preserve">-0.0019</w:t>
            </w:r>
            <w:r w:rsidDel="00000000" w:rsidR="00000000" w:rsidRPr="00000000">
              <w:rPr>
                <w:highlight w:val="yellow"/>
                <w:rtl w:val="0"/>
              </w:rPr>
              <w:t xml:space="preserve">,</w:t>
            </w:r>
            <w:r w:rsidDel="00000000" w:rsidR="00000000" w:rsidRPr="00000000">
              <w:rPr>
                <w:rtl w:val="0"/>
              </w:rPr>
              <w:t xml:space="preserve"> -0.0017)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w:t>
            </w:r>
            <w:r w:rsidDel="00000000" w:rsidR="00000000" w:rsidRPr="00000000">
              <w:rPr>
                <w:b w:val="1"/>
                <w:rtl w:val="0"/>
              </w:rPr>
              <w:t xml:space="preserve">Dynamic</w:t>
            </w:r>
            <w:r w:rsidDel="00000000" w:rsidR="00000000" w:rsidRPr="00000000">
              <w:rPr>
                <w:rtl w:val="0"/>
              </w:rPr>
              <w:t xml:space="preserve">] Fraction of inspired oxygen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(0.0085</w:t>
            </w:r>
            <w:r w:rsidDel="00000000" w:rsidR="00000000" w:rsidRPr="00000000">
              <w:rPr>
                <w:b w:val="1"/>
                <w:rtl w:val="0"/>
              </w:rPr>
              <w:t xml:space="preserve">, </w:t>
            </w:r>
            <w:r w:rsidDel="00000000" w:rsidR="00000000" w:rsidRPr="00000000">
              <w:rPr>
                <w:b w:val="1"/>
                <w:highlight w:val="yellow"/>
                <w:rtl w:val="0"/>
              </w:rPr>
              <w:t xml:space="preserve">0.0091</w:t>
            </w:r>
            <w:r w:rsidDel="00000000" w:rsidR="00000000" w:rsidRPr="00000000">
              <w:rPr>
                <w:b w:val="1"/>
                <w:rtl w:val="0"/>
              </w:rPr>
              <w:t xml:space="preserve">, </w:t>
            </w:r>
            <w:r w:rsidDel="00000000" w:rsidR="00000000" w:rsidRPr="00000000">
              <w:rPr>
                <w:rtl w:val="0"/>
              </w:rPr>
              <w:t xml:space="preserve">0.0097)</w:t>
            </w:r>
          </w:p>
        </w:tc>
      </w:tr>
    </w:tbl>
    <w:p w:rsidR="00000000" w:rsidDel="00000000" w:rsidP="00000000" w:rsidRDefault="00000000" w:rsidRPr="00000000" w14:paraId="0000005F">
      <w:pPr>
        <w:ind w:left="720" w:firstLine="0"/>
        <w:jc w:val="center"/>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4">
      <w:pPr>
        <w:ind w:left="0" w:firstLine="0"/>
        <w:rPr>
          <w:b w:val="1"/>
          <w:sz w:val="28"/>
          <w:szCs w:val="28"/>
        </w:rPr>
      </w:pPr>
      <w:r w:rsidDel="00000000" w:rsidR="00000000" w:rsidRPr="00000000">
        <w:rPr>
          <w:b w:val="1"/>
          <w:sz w:val="28"/>
          <w:szCs w:val="28"/>
          <w:rtl w:val="0"/>
        </w:rPr>
        <w:t xml:space="preserve">Evaluating the GLMs</w:t>
      </w:r>
    </w:p>
    <w:p w:rsidR="00000000" w:rsidDel="00000000" w:rsidP="00000000" w:rsidRDefault="00000000" w:rsidRPr="00000000" w14:paraId="00000065">
      <w:pPr>
        <w:ind w:left="0" w:firstLine="0"/>
        <w:rPr/>
      </w:pPr>
      <w:r w:rsidDel="00000000" w:rsidR="00000000" w:rsidRPr="00000000">
        <w:rPr>
          <w:b w:val="1"/>
          <w:rtl w:val="0"/>
        </w:rPr>
        <w:tab/>
        <w:t xml:space="preserve">Static Model</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ab/>
        <w:t xml:space="preserve">Our static GLM achieved an AUROC of ~0.79 for the static </w:t>
      </w:r>
      <w:r w:rsidDel="00000000" w:rsidR="00000000" w:rsidRPr="00000000">
        <w:rPr>
          <w:b w:val="1"/>
          <w:rtl w:val="0"/>
        </w:rPr>
        <w:t xml:space="preserve">training</w:t>
      </w:r>
      <w:r w:rsidDel="00000000" w:rsidR="00000000" w:rsidRPr="00000000">
        <w:rPr>
          <w:rtl w:val="0"/>
        </w:rPr>
        <w:t xml:space="preserve"> set.</w:t>
      </w:r>
    </w:p>
    <w:p w:rsidR="00000000" w:rsidDel="00000000" w:rsidP="00000000" w:rsidRDefault="00000000" w:rsidRPr="00000000" w14:paraId="00000067">
      <w:pPr>
        <w:jc w:val="center"/>
        <w:rPr>
          <w:b w:val="1"/>
        </w:rPr>
      </w:pPr>
      <w:commentRangeStart w:id="1"/>
      <w:r w:rsidDel="00000000" w:rsidR="00000000" w:rsidRPr="00000000">
        <w:rPr>
          <w:b w:val="1"/>
        </w:rPr>
        <w:drawing>
          <wp:inline distB="114300" distT="114300" distL="114300" distR="114300">
            <wp:extent cx="3638550" cy="2846787"/>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38550" cy="2846787"/>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8">
      <w:pPr>
        <w:jc w:val="center"/>
        <w:rPr>
          <w:b w:val="1"/>
          <w:i w:val="1"/>
        </w:rPr>
      </w:pPr>
      <w:r w:rsidDel="00000000" w:rsidR="00000000" w:rsidRPr="00000000">
        <w:rPr>
          <w:b w:val="1"/>
          <w:i w:val="1"/>
          <w:rtl w:val="0"/>
        </w:rPr>
        <w:t xml:space="preserve">Figure 3: ROC curve for the static training set</w:t>
      </w:r>
    </w:p>
    <w:p w:rsidR="00000000" w:rsidDel="00000000" w:rsidP="00000000" w:rsidRDefault="00000000" w:rsidRPr="00000000" w14:paraId="00000069">
      <w:pPr>
        <w:jc w:val="center"/>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ab/>
        <w:t xml:space="preserve">Dynamic Model</w:t>
      </w:r>
    </w:p>
    <w:p w:rsidR="00000000" w:rsidDel="00000000" w:rsidP="00000000" w:rsidRDefault="00000000" w:rsidRPr="00000000" w14:paraId="0000006C">
      <w:pPr>
        <w:rPr/>
      </w:pPr>
      <w:r w:rsidDel="00000000" w:rsidR="00000000" w:rsidRPr="00000000">
        <w:rPr>
          <w:rtl w:val="0"/>
        </w:rPr>
        <w:tab/>
        <w:t xml:space="preserve">Our dynamic GLM achieved an AUROC of ~0.82 for the dynamic </w:t>
      </w:r>
      <w:r w:rsidDel="00000000" w:rsidR="00000000" w:rsidRPr="00000000">
        <w:rPr>
          <w:b w:val="1"/>
          <w:rtl w:val="0"/>
        </w:rPr>
        <w:t xml:space="preserve">training</w:t>
      </w:r>
      <w:r w:rsidDel="00000000" w:rsidR="00000000" w:rsidRPr="00000000">
        <w:rPr>
          <w:rtl w:val="0"/>
        </w:rPr>
        <w:t xml:space="preserve"> set.</w:t>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jc w:val="center"/>
        <w:rPr>
          <w:b w:val="1"/>
        </w:rPr>
      </w:pPr>
      <w:commentRangeStart w:id="2"/>
      <w:r w:rsidDel="00000000" w:rsidR="00000000" w:rsidRPr="00000000">
        <w:rPr>
          <w:b w:val="1"/>
        </w:rPr>
        <w:drawing>
          <wp:inline distB="114300" distT="114300" distL="114300" distR="114300">
            <wp:extent cx="3748088" cy="2926016"/>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48088" cy="2926016"/>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F">
      <w:pPr>
        <w:jc w:val="center"/>
        <w:rPr>
          <w:b w:val="1"/>
          <w:i w:val="1"/>
        </w:rPr>
      </w:pPr>
      <w:r w:rsidDel="00000000" w:rsidR="00000000" w:rsidRPr="00000000">
        <w:rPr>
          <w:b w:val="1"/>
          <w:i w:val="1"/>
          <w:rtl w:val="0"/>
        </w:rPr>
        <w:t xml:space="preserve">Figure 4: ROC curve on the dynamic training set</w:t>
      </w:r>
    </w:p>
    <w:p w:rsidR="00000000" w:rsidDel="00000000" w:rsidP="00000000" w:rsidRDefault="00000000" w:rsidRPr="00000000" w14:paraId="00000070">
      <w:pPr>
        <w:jc w:val="center"/>
        <w:rPr>
          <w:i w:val="1"/>
        </w:rPr>
      </w:pPr>
      <w:r w:rsidDel="00000000" w:rsidR="00000000" w:rsidRPr="00000000">
        <w:rPr>
          <w:rtl w:val="0"/>
        </w:rPr>
      </w:r>
    </w:p>
    <w:p w:rsidR="00000000" w:rsidDel="00000000" w:rsidP="00000000" w:rsidRDefault="00000000" w:rsidRPr="00000000" w14:paraId="00000071">
      <w:pPr>
        <w:jc w:val="center"/>
        <w:rPr>
          <w:b w:val="1"/>
        </w:rPr>
      </w:pPr>
      <w:r w:rsidDel="00000000" w:rsidR="00000000" w:rsidRPr="00000000">
        <w:rPr>
          <w:rtl w:val="0"/>
        </w:rPr>
      </w:r>
    </w:p>
    <w:p w:rsidR="00000000" w:rsidDel="00000000" w:rsidP="00000000" w:rsidRDefault="00000000" w:rsidRPr="00000000" w14:paraId="00000072">
      <w:pPr>
        <w:ind w:left="0" w:firstLine="0"/>
        <w:rPr>
          <w:b w:val="1"/>
          <w:highlight w:val="yellow"/>
        </w:rPr>
      </w:pPr>
      <w:r w:rsidDel="00000000" w:rsidR="00000000" w:rsidRPr="00000000">
        <w:rPr>
          <w:b w:val="1"/>
          <w:sz w:val="28"/>
          <w:szCs w:val="28"/>
          <w:rtl w:val="0"/>
        </w:rPr>
        <w:t xml:space="preserve">Model Validation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114300</wp:posOffset>
            </wp:positionV>
            <wp:extent cx="3709988" cy="296094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09988" cy="2960940"/>
                    </a:xfrm>
                    <a:prstGeom prst="rect"/>
                    <a:ln/>
                  </pic:spPr>
                </pic:pic>
              </a:graphicData>
            </a:graphic>
          </wp:anchor>
        </w:drawing>
      </w:r>
    </w:p>
    <w:p w:rsidR="00000000" w:rsidDel="00000000" w:rsidP="00000000" w:rsidRDefault="00000000" w:rsidRPr="00000000" w14:paraId="00000073">
      <w:pPr>
        <w:ind w:left="0" w:firstLine="0"/>
        <w:rPr>
          <w:b w:val="1"/>
        </w:rPr>
      </w:pPr>
      <w:r w:rsidDel="00000000" w:rsidR="00000000" w:rsidRPr="00000000">
        <w:rPr>
          <w:b w:val="1"/>
          <w:rtl w:val="0"/>
        </w:rPr>
        <w:t xml:space="preserve">Static Model</w:t>
      </w:r>
    </w:p>
    <w:p w:rsidR="00000000" w:rsidDel="00000000" w:rsidP="00000000" w:rsidRDefault="00000000" w:rsidRPr="00000000" w14:paraId="00000074">
      <w:pPr>
        <w:ind w:left="0" w:firstLine="0"/>
        <w:rPr>
          <w:b w:val="1"/>
        </w:rPr>
      </w:pPr>
      <w:r w:rsidDel="00000000" w:rsidR="00000000" w:rsidRPr="00000000">
        <w:rPr>
          <w:rtl w:val="0"/>
        </w:rPr>
        <w:t xml:space="preserve">We achieved an AUROC of around 0.77 on the static validation set (n = 300 patients). This value is just slightly below the AUROC of ~0.79 achieved with our static training set (n = 700 patients), which is expected as the model is predicting on ‘unseen’ validation data. In fact, this shows our model, trained on a selected static feature set, generalizes decently to unseen data.</w:t>
      </w:r>
      <w:r w:rsidDel="00000000" w:rsidR="00000000" w:rsidRPr="00000000">
        <w:rPr>
          <w:rtl w:val="0"/>
        </w:rPr>
      </w:r>
    </w:p>
    <w:p w:rsidR="00000000" w:rsidDel="00000000" w:rsidP="00000000" w:rsidRDefault="00000000" w:rsidRPr="00000000" w14:paraId="00000075">
      <w:pPr>
        <w:jc w:val="left"/>
        <w:rPr>
          <w:b w:val="1"/>
          <w:sz w:val="24"/>
          <w:szCs w:val="24"/>
        </w:rPr>
      </w:pPr>
      <w:r w:rsidDel="00000000" w:rsidR="00000000" w:rsidRPr="00000000">
        <w:rPr>
          <w:rtl w:val="0"/>
        </w:rPr>
      </w:r>
    </w:p>
    <w:p w:rsidR="00000000" w:rsidDel="00000000" w:rsidP="00000000" w:rsidRDefault="00000000" w:rsidRPr="00000000" w14:paraId="00000076">
      <w:pPr>
        <w:jc w:val="center"/>
        <w:rPr>
          <w:b w:val="1"/>
          <w:sz w:val="24"/>
          <w:szCs w:val="24"/>
        </w:rPr>
      </w:pPr>
      <w:r w:rsidDel="00000000" w:rsidR="00000000" w:rsidRPr="00000000">
        <w:rPr>
          <w:rtl w:val="0"/>
        </w:rPr>
      </w:r>
    </w:p>
    <w:p w:rsidR="00000000" w:rsidDel="00000000" w:rsidP="00000000" w:rsidRDefault="00000000" w:rsidRPr="00000000" w14:paraId="00000077">
      <w:pPr>
        <w:jc w:val="center"/>
        <w:rPr>
          <w:b w:val="1"/>
          <w:i w:val="1"/>
          <w:sz w:val="24"/>
          <w:szCs w:val="24"/>
        </w:rPr>
      </w:pPr>
      <w:r w:rsidDel="00000000" w:rsidR="00000000" w:rsidRPr="00000000">
        <w:rPr>
          <w:b w:val="1"/>
          <w:i w:val="1"/>
          <w:sz w:val="24"/>
          <w:szCs w:val="24"/>
          <w:rtl w:val="0"/>
        </w:rPr>
        <w:t xml:space="preserve">Figure 5: Static model ROC curve for static validation data</w:t>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ind w:left="720" w:firstLine="0"/>
        <w:rPr>
          <w:b w:val="1"/>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200072</wp:posOffset>
            </wp:positionV>
            <wp:extent cx="3829050" cy="306324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829050" cy="3063240"/>
                    </a:xfrm>
                    <a:prstGeom prst="rect"/>
                    <a:ln/>
                  </pic:spPr>
                </pic:pic>
              </a:graphicData>
            </a:graphic>
          </wp:anchor>
        </w:drawing>
      </w:r>
    </w:p>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b w:val="1"/>
          <w:rtl w:val="0"/>
        </w:rPr>
        <w:t xml:space="preserve">Dynamic Model</w:t>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We achieved a respectable AUROC of ~0.65 on the dynamic validation set. This is worse than the value achieved on the dynamic training set (~0.82), which we expect since this validation set (as in the static case) was not seen by the model during training.</w:t>
      </w:r>
    </w:p>
    <w:p w:rsidR="00000000" w:rsidDel="00000000" w:rsidP="00000000" w:rsidRDefault="00000000" w:rsidRPr="00000000" w14:paraId="0000007E">
      <w:pPr>
        <w:ind w:left="0" w:firstLine="0"/>
        <w:rPr>
          <w:b w:val="1"/>
        </w:rPr>
      </w:pPr>
      <w:r w:rsidDel="00000000" w:rsidR="00000000" w:rsidRPr="00000000">
        <w:rPr>
          <w:rtl w:val="0"/>
        </w:rPr>
      </w:r>
    </w:p>
    <w:p w:rsidR="00000000" w:rsidDel="00000000" w:rsidP="00000000" w:rsidRDefault="00000000" w:rsidRPr="00000000" w14:paraId="0000007F">
      <w:pPr>
        <w:jc w:val="center"/>
        <w:rPr>
          <w:b w:val="1"/>
        </w:rPr>
      </w:pPr>
      <w:r w:rsidDel="00000000" w:rsidR="00000000" w:rsidRPr="00000000">
        <w:rPr>
          <w:rtl w:val="0"/>
        </w:rPr>
      </w:r>
    </w:p>
    <w:p w:rsidR="00000000" w:rsidDel="00000000" w:rsidP="00000000" w:rsidRDefault="00000000" w:rsidRPr="00000000" w14:paraId="00000080">
      <w:pPr>
        <w:jc w:val="center"/>
        <w:rPr>
          <w:b w:val="1"/>
          <w:i w:val="1"/>
        </w:rPr>
      </w:pPr>
      <w:r w:rsidDel="00000000" w:rsidR="00000000" w:rsidRPr="00000000">
        <w:rPr>
          <w:b w:val="1"/>
          <w:i w:val="1"/>
          <w:sz w:val="24"/>
          <w:szCs w:val="24"/>
          <w:rtl w:val="0"/>
        </w:rPr>
        <w:t xml:space="preserve">Figure 6: Dynamic model ROC curve for dynamic validation data</w:t>
      </w: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Conclusions</w:t>
      </w:r>
    </w:p>
    <w:p w:rsidR="00000000" w:rsidDel="00000000" w:rsidP="00000000" w:rsidRDefault="00000000" w:rsidRPr="00000000" w14:paraId="0000008D">
      <w:pPr>
        <w:rPr>
          <w:sz w:val="24"/>
          <w:szCs w:val="24"/>
        </w:rPr>
      </w:pPr>
      <w:r w:rsidDel="00000000" w:rsidR="00000000" w:rsidRPr="00000000">
        <w:rPr>
          <w:b w:val="1"/>
          <w:sz w:val="24"/>
          <w:szCs w:val="24"/>
          <w:rtl w:val="0"/>
        </w:rPr>
        <w:tab/>
      </w:r>
      <w:r w:rsidDel="00000000" w:rsidR="00000000" w:rsidRPr="00000000">
        <w:rPr>
          <w:sz w:val="24"/>
          <w:szCs w:val="24"/>
          <w:rtl w:val="0"/>
        </w:rPr>
        <w:t xml:space="preserve">We have developed static and dynamic GLMs to model the probability of patients entering into septic shock. Our models demonstrated strong performance on both the training and validation sets (more so for the static model). Interestingly, we found the respiratory comorbidities and infection static variables to be influential features in our predictions for both the static and dynamic models, demonstrated by their high positive ‘betas’/weights. GLMs of septic shock are therefore useful statistical models that may provide clinically actionable, interpretable, and early predictions of septic shock.</w:t>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rtl w:val="0"/>
        </w:rPr>
      </w:r>
    </w:p>
    <w:p w:rsidR="00000000" w:rsidDel="00000000" w:rsidP="00000000" w:rsidRDefault="00000000" w:rsidRPr="00000000" w14:paraId="00000090">
      <w:pPr>
        <w:ind w:left="0" w:firstLine="0"/>
        <w:rPr>
          <w:b w:val="1"/>
          <w:sz w:val="28"/>
          <w:szCs w:val="28"/>
        </w:rPr>
      </w:pPr>
      <w:r w:rsidDel="00000000" w:rsidR="00000000" w:rsidRPr="00000000">
        <w:rPr>
          <w:b w:val="1"/>
          <w:sz w:val="28"/>
          <w:szCs w:val="28"/>
          <w:rtl w:val="0"/>
        </w:rPr>
        <w:t xml:space="preserve">Contributions</w:t>
      </w:r>
    </w:p>
    <w:p w:rsidR="00000000" w:rsidDel="00000000" w:rsidP="00000000" w:rsidRDefault="00000000" w:rsidRPr="00000000" w14:paraId="00000091">
      <w:pPr>
        <w:rPr/>
      </w:pPr>
      <w:r w:rsidDel="00000000" w:rsidR="00000000" w:rsidRPr="00000000">
        <w:rPr>
          <w:b w:val="1"/>
          <w:rtl w:val="0"/>
        </w:rPr>
        <w:t xml:space="preserve">Vivek Booshan:</w:t>
      </w:r>
      <w:r w:rsidDel="00000000" w:rsidR="00000000" w:rsidRPr="00000000">
        <w:rPr>
          <w:rtl w:val="0"/>
        </w:rPr>
        <w:t xml:space="preserve">, coding, plotting, writing</w:t>
      </w:r>
    </w:p>
    <w:p w:rsidR="00000000" w:rsidDel="00000000" w:rsidP="00000000" w:rsidRDefault="00000000" w:rsidRPr="00000000" w14:paraId="00000092">
      <w:pPr>
        <w:rPr/>
      </w:pPr>
      <w:r w:rsidDel="00000000" w:rsidR="00000000" w:rsidRPr="00000000">
        <w:rPr>
          <w:b w:val="1"/>
          <w:rtl w:val="0"/>
        </w:rPr>
        <w:t xml:space="preserve">Jay Luo:</w:t>
      </w:r>
      <w:r w:rsidDel="00000000" w:rsidR="00000000" w:rsidRPr="00000000">
        <w:rPr>
          <w:rtl w:val="0"/>
        </w:rPr>
        <w:t xml:space="preserve"> writing, coding</w:t>
      </w:r>
    </w:p>
    <w:p w:rsidR="00000000" w:rsidDel="00000000" w:rsidP="00000000" w:rsidRDefault="00000000" w:rsidRPr="00000000" w14:paraId="00000093">
      <w:pPr>
        <w:rPr>
          <w:b w:val="1"/>
        </w:rPr>
      </w:pPr>
      <w:r w:rsidDel="00000000" w:rsidR="00000000" w:rsidRPr="00000000">
        <w:rPr>
          <w:b w:val="1"/>
          <w:rtl w:val="0"/>
        </w:rPr>
        <w:t xml:space="preserve">Parimala Vedula:</w:t>
      </w:r>
    </w:p>
    <w:p w:rsidR="00000000" w:rsidDel="00000000" w:rsidP="00000000" w:rsidRDefault="00000000" w:rsidRPr="00000000" w14:paraId="00000094">
      <w:pPr>
        <w:rPr/>
      </w:pPr>
      <w:r w:rsidDel="00000000" w:rsidR="00000000" w:rsidRPr="00000000">
        <w:rPr>
          <w:b w:val="1"/>
          <w:rtl w:val="0"/>
        </w:rPr>
        <w:t xml:space="preserve">Elizabeth Zuerblis: </w:t>
      </w:r>
      <w:r w:rsidDel="00000000" w:rsidR="00000000" w:rsidRPr="00000000">
        <w:rPr>
          <w:rtl w:val="0"/>
        </w:rPr>
        <w:t xml:space="preserve">writing</w:t>
      </w:r>
    </w:p>
    <w:p w:rsidR="00000000" w:rsidDel="00000000" w:rsidP="00000000" w:rsidRDefault="00000000" w:rsidRPr="00000000" w14:paraId="00000095">
      <w:pPr>
        <w:ind w:left="0" w:firstLine="0"/>
        <w:rPr>
          <w:b w:val="1"/>
        </w:rPr>
      </w:pP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rtl w:val="0"/>
        </w:rPr>
      </w:r>
    </w:p>
    <w:p w:rsidR="00000000" w:rsidDel="00000000" w:rsidP="00000000" w:rsidRDefault="00000000" w:rsidRPr="00000000" w14:paraId="00000097">
      <w:pPr>
        <w:ind w:left="0" w:firstLine="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98">
      <w:pPr>
        <w:spacing w:line="480" w:lineRule="auto"/>
        <w:ind w:left="880" w:hanging="440"/>
        <w:rPr>
          <w:color w:val="1155cc"/>
          <w:u w:val="single"/>
        </w:rPr>
      </w:pPr>
      <w:r w:rsidDel="00000000" w:rsidR="00000000" w:rsidRPr="00000000">
        <w:rPr>
          <w:rtl w:val="0"/>
        </w:rPr>
        <w:t xml:space="preserve">Angus, D. C., Linde-Zwirble, W. T., Lidicker, J., Clermont, G., Carcillo, J., &amp; Pinsky, M. R. (2001). Epidemiology of severe sepsis in the United States: Analysis of incidence, outcome, and associated costs of care. </w:t>
      </w:r>
      <w:r w:rsidDel="00000000" w:rsidR="00000000" w:rsidRPr="00000000">
        <w:rPr>
          <w:i w:val="1"/>
          <w:rtl w:val="0"/>
        </w:rPr>
        <w:t xml:space="preserve">Critical Care Medicine</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(7), 1303–1310. </w:t>
      </w:r>
      <w:hyperlink r:id="rId13">
        <w:r w:rsidDel="00000000" w:rsidR="00000000" w:rsidRPr="00000000">
          <w:rPr>
            <w:color w:val="1155cc"/>
            <w:u w:val="single"/>
            <w:rtl w:val="0"/>
          </w:rPr>
          <w:t xml:space="preserve">https://doi.org/10.1097/00003246-200107000-00002</w:t>
        </w:r>
      </w:hyperlink>
      <w:r w:rsidDel="00000000" w:rsidR="00000000" w:rsidRPr="00000000">
        <w:rPr>
          <w:rtl w:val="0"/>
        </w:rPr>
      </w:r>
    </w:p>
    <w:p w:rsidR="00000000" w:rsidDel="00000000" w:rsidP="00000000" w:rsidRDefault="00000000" w:rsidRPr="00000000" w14:paraId="00000099">
      <w:pPr>
        <w:spacing w:line="480" w:lineRule="auto"/>
        <w:ind w:left="880" w:hanging="440"/>
        <w:rPr/>
      </w:pPr>
      <w:r w:rsidDel="00000000" w:rsidR="00000000" w:rsidRPr="00000000">
        <w:rPr>
          <w:rtl w:val="0"/>
        </w:rPr>
        <w:t xml:space="preserve">Liu, R., Greenstein, J. L., Granite, S. J., Fackler, J. C., Bembea, M. M., Sarma, S. V., &amp; Winslow, R. L. (2019). Data-driven discovery of a novel sepsis pre-shock state predicts impending septic shock in the ICU. </w:t>
      </w:r>
      <w:r w:rsidDel="00000000" w:rsidR="00000000" w:rsidRPr="00000000">
        <w:rPr>
          <w:i w:val="1"/>
          <w:rtl w:val="0"/>
        </w:rPr>
        <w:t xml:space="preserve">Scientific Reports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 Article 1. </w:t>
      </w:r>
      <w:hyperlink r:id="rId14">
        <w:r w:rsidDel="00000000" w:rsidR="00000000" w:rsidRPr="00000000">
          <w:rPr>
            <w:color w:val="1155cc"/>
            <w:u w:val="single"/>
            <w:rtl w:val="0"/>
          </w:rPr>
          <w:t xml:space="preserve">https://doi.org/10.1038/s41598-019-42637-5</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vek Booshan" w:id="1" w:date="2023-12-04T20:29:39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looks like without gender and age</w:t>
      </w:r>
    </w:p>
  </w:comment>
  <w:comment w:author="Vivek Booshan" w:id="2" w:date="2023-12-04T21:16:13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training ROC</w:t>
      </w:r>
    </w:p>
  </w:comment>
  <w:comment w:author="Vivek Booshan" w:id="0" w:date="2023-12-04T22:59:25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phat for dynamic training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doi.org/10.1097/00003246-200107000-00002"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hyperlink" Target="https://doi.org/10.1038/s41598-019-42637-5"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