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Benefits Guide</w:t>
      </w:r>
    </w:p>
    <w:p>
      <w:r>
        <w:t>Effective Date: 01 January 2024  |  Human Resources Department</w:t>
      </w:r>
    </w:p>
    <w:p>
      <w:r>
        <w:t>This guide summarises the benefits available to all full-time employees. Contact hr@company.internal for queries or to initiate a claim.</w:t>
      </w:r>
    </w:p>
    <w:p>
      <w:pPr>
        <w:pStyle w:val="Heading1"/>
      </w:pPr>
      <w:r>
        <w:t>1. Health Insurance</w:t>
      </w:r>
    </w:p>
    <w:p>
      <w:r>
        <w:t>The company provides comprehensive group health insurance for all full-time employees and their immediate dependents (spouse and up to two children under 21 years of age).</w:t>
      </w:r>
    </w:p>
    <w:p>
      <w:r>
        <w:rPr>
          <w:b/>
        </w:rPr>
        <w:t>Coverage Details:</w:t>
        <w:br/>
      </w:r>
      <w:r>
        <w:t>- In-patient hospitalization: up to $200,000 per annum per insured family.</w:t>
        <w:br/>
        <w:t>- Out-patient consultations: up to $2,000 per annum per employee.</w:t>
        <w:br/>
        <w:t>- Dental coverage: up to $500 per annum per employee.</w:t>
        <w:br/>
        <w:t>- Vision care (frames + lenses or contact lenses): up to $300 per annum.</w:t>
        <w:br/>
        <w:t>- Maternity benefits (pre- and post-natal): up to $5,000 per delivery.</w:t>
        <w:br/>
        <w:t>- Pre-existing conditions: covered after a 12-month waiting period.</w:t>
        <w:br/>
        <w:t>- Emergency overseas medical evacuation: up to $500,000.</w:t>
      </w:r>
    </w:p>
    <w:p>
      <w:r>
        <w:t>Enrolment must be completed within 30 days of joining. Changes to dependent coverage are only permitted during the annual open-enrolment window (November) or within 30 days of a qualifying life event (marriage, birth, adoption).</w:t>
      </w:r>
    </w:p>
    <w:p>
      <w:pPr>
        <w:pStyle w:val="Heading1"/>
      </w:pPr>
      <w:r>
        <w:t>2. Wellness Allowance</w:t>
      </w:r>
    </w:p>
    <w:p>
      <w:r>
        <w:t>Each employee receives an annual Wellness Allowance of $500 to support physical and mental well-being. The allowance is credited to the benefits wallet on 1 January each year (pro-rated for employees who join mid-year).</w:t>
      </w:r>
    </w:p>
    <w:p>
      <w:r>
        <w:rPr>
          <w:b/>
        </w:rPr>
        <w:t>Eligible Expenses:</w:t>
        <w:br/>
      </w:r>
      <w:r>
        <w:t>- Gym memberships and fitness classes (yoga, pilates, CrossFit, swimming, etc.).</w:t>
        <w:br/>
        <w:t>- Sports equipment purchases up to $200 per item.</w:t>
        <w:br/>
        <w:t>- Mental health and counselling sessions with approved providers.</w:t>
        <w:br/>
        <w:t>- Nutrition and dietitian consultations.</w:t>
        <w:br/>
        <w:t>- Mindfulness app subscriptions (Calm, Headspace, etc.).</w:t>
        <w:br/>
        <w:t>- Health screening packages not covered under group insurance.</w:t>
      </w:r>
    </w:p>
    <w:p>
      <w:r>
        <w:t>Claims must be submitted through the HR portal with valid receipts within 60 days of the expense date. Unused wellness allowance does not carry forward to the following year.</w:t>
      </w:r>
    </w:p>
    <w:p>
      <w:pPr>
        <w:pStyle w:val="Heading1"/>
      </w:pPr>
      <w:r>
        <w:t>3. Education Reimbursement</w:t>
      </w:r>
    </w:p>
    <w:p>
      <w:r>
        <w:t>The company supports continuous learning through an Education Reimbursement programme for job-related courses, certifications, and degree programmes.</w:t>
      </w:r>
    </w:p>
    <w:p>
      <w:r>
        <w:rPr>
          <w:b/>
        </w:rPr>
        <w:t>Reimbursement Limits:</w:t>
        <w:br/>
      </w:r>
      <w:r>
        <w:t>- Professional certifications (AWS, PMP, CPA, CFA, etc.): up to $2,000 per certification.</w:t>
        <w:br/>
        <w:t>- Online courses and MOOCs (Coursera, Udemy, LinkedIn Learning): up to $500 per year.</w:t>
        <w:br/>
        <w:t>- Undergraduate or postgraduate degree programmes: up to $5,000 per academic year.</w:t>
        <w:br/>
        <w:t>- Conference attendance (registration fees only): up to $1,500 per event.</w:t>
      </w:r>
    </w:p>
    <w:p>
      <w:r>
        <w:rPr>
          <w:b/>
        </w:rPr>
        <w:t>Eligibility Criteria:</w:t>
        <w:br/>
      </w:r>
      <w:r>
        <w:t>- At least 6 months of continuous service required.</w:t>
        <w:br/>
        <w:t>- The course or programme must be relevant to the employee's current role or career growth.</w:t>
        <w:br/>
        <w:t>- Pre-approval from the line manager and HR is mandatory before enrolment.</w:t>
        <w:br/>
        <w:t>- A passing grade (or equivalent completion certificate) is required for reimbursement.</w:t>
        <w:br/>
        <w:t>- Employees who resign within 12 months of receiving reimbursement must repay 100% of the amount.</w:t>
      </w:r>
    </w:p>
    <w:p>
      <w:pPr>
        <w:pStyle w:val="Heading1"/>
      </w:pPr>
      <w:r>
        <w:t>4. Additional Benefits</w:t>
      </w:r>
    </w:p>
    <w:p>
      <w:pPr>
        <w:pStyle w:val="ListBullet"/>
      </w:pPr>
      <w:r>
        <w:rPr>
          <w:b/>
        </w:rPr>
        <w:t xml:space="preserve">Retirement Plan (401k): </w:t>
      </w:r>
      <w:r>
        <w:t>Company matches employee 401(k) contributions dollar-for-dollar up to 5% of base salary.</w:t>
      </w:r>
    </w:p>
    <w:p>
      <w:pPr>
        <w:pStyle w:val="ListBullet"/>
      </w:pPr>
      <w:r>
        <w:rPr>
          <w:b/>
        </w:rPr>
        <w:t xml:space="preserve">Group Life Insurance: </w:t>
      </w:r>
      <w:r>
        <w:t>Term life insurance of 3× annual base salary provided at no cost to the employee.</w:t>
      </w:r>
    </w:p>
    <w:p>
      <w:pPr>
        <w:pStyle w:val="ListBullet"/>
      </w:pPr>
      <w:r>
        <w:rPr>
          <w:b/>
        </w:rPr>
        <w:t xml:space="preserve">Flexible / Hybrid Work: </w:t>
      </w:r>
      <w:r>
        <w:t>Hybrid work model: minimum 3 days in-office and up to 2 days remote per week.</w:t>
      </w:r>
    </w:p>
    <w:p>
      <w:pPr>
        <w:pStyle w:val="ListBullet"/>
      </w:pPr>
      <w:r>
        <w:rPr>
          <w:b/>
        </w:rPr>
        <w:t xml:space="preserve">Parental Leave: </w:t>
      </w:r>
      <w:r>
        <w:t>16 weeks paid primary caregiver leave; 4 weeks paid secondary caregiver leave.</w:t>
      </w:r>
    </w:p>
    <w:p>
      <w:pPr>
        <w:pStyle w:val="ListBullet"/>
      </w:pPr>
      <w:r>
        <w:rPr>
          <w:b/>
        </w:rPr>
        <w:t xml:space="preserve">Employee Assistance Programme (EAP): </w:t>
      </w:r>
      <w:r>
        <w:t>Free confidential counselling via LifeWorks — up to 6 sessions per year per employee.</w:t>
      </w:r>
    </w:p>
    <w:p>
      <w:pPr>
        <w:pStyle w:val="ListBullet"/>
      </w:pPr>
      <w:r>
        <w:rPr>
          <w:b/>
        </w:rPr>
        <w:t xml:space="preserve">Commuter Benefits: </w:t>
      </w:r>
      <w:r>
        <w:t>Pre-tax commuter benefit of up to $300/month for public transit or qualified parking.</w:t>
      </w:r>
    </w:p>
    <w:p>
      <w:pPr>
        <w:pStyle w:val="Heading1"/>
      </w:pPr>
      <w:r>
        <w:t>5. Policy Review</w:t>
      </w:r>
    </w:p>
    <w:p>
      <w:r>
        <w:t>This Benefits Guide is reviewed annually by the HR department and is subject to change. Employees will be notified of material changes at least 30 days in advance. For the most current version, refer to the HR portal or contact hr@company.internal.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