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spacing w:before="120" w:after="120"/>
        <w:jc w:val="center"/>
      </w:pPr>
      <w:r>
        <w:rPr>
          <w:b/>
          <w:color w:val="1A365D"/>
          <w:sz w:val="26"/>
        </w:rPr>
        <w:t>Teacher Assessment Examination</w:t>
        <w:br/>
      </w:r>
      <w:r>
        <w:rPr>
          <w:b/>
          <w:color w:val="2D3748"/>
          <w:sz w:val="24"/>
        </w:rPr>
        <w:t>S. B. JAIN INSTITUTE OF TECHNOLOGY, MANAGEMENT &amp; RESEARCH, NAGPUR.</w:t>
        <w:br/>
      </w:r>
      <w:r>
        <w:rPr>
          <w:b/>
          <w:color w:val="3182CE"/>
          <w:sz w:val="22"/>
        </w:rPr>
        <w:t>B.Tech (Computer Science &amp; Engineering)</w:t>
        <w:br/>
      </w:r>
    </w:p>
    <w:p>
      <w:pPr>
        <w:spacing w:before="160" w:after="160" w:line="288" w:lineRule="auto"/>
      </w:pPr>
      <w:r>
        <w:rPr>
          <w:b/>
        </w:rPr>
        <w:t xml:space="preserve">NAME OF STUDENT : </w:t>
      </w:r>
      <w:r>
        <w:t>Vivek Kothekar</w:t>
        <w:br/>
      </w:r>
      <w:r>
        <w:rPr>
          <w:b/>
        </w:rPr>
        <w:t xml:space="preserve">ROLL NO. : </w:t>
      </w:r>
      <w:r>
        <w:t>CS23032 / [Roll Number]</w:t>
        <w:br/>
      </w:r>
      <w:r>
        <w:rPr>
          <w:b/>
        </w:rPr>
        <w:t xml:space="preserve">SEMESTER : </w:t>
      </w:r>
      <w:r>
        <w:t>VI</w:t>
        <w:br/>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1A365D"/>
            <w:tcMar>
              <w:top w:w="120" w:type="dxa"/>
              <w:bottom w:w="120" w:type="dxa"/>
              <w:left w:w="150" w:type="dxa"/>
              <w:right w:w="150" w:type="dxa"/>
            </w:tcMar>
          </w:tcPr>
          <w:p>
            <w:pPr>
              <w:jc w:val="center"/>
            </w:pPr>
            <w:r>
              <w:rPr>
                <w:b/>
                <w:color w:val="FFFFFF"/>
                <w:sz w:val="20"/>
              </w:rPr>
              <w:t>Sr. No.</w:t>
            </w:r>
          </w:p>
        </w:tc>
        <w:tc>
          <w:tcPr>
            <w:tcW w:type="dxa" w:w="5760"/>
            <w:shd w:val="clear" w:color="auto" w:fill="1A365D"/>
            <w:tcMar>
              <w:top w:w="120" w:type="dxa"/>
              <w:bottom w:w="120" w:type="dxa"/>
              <w:left w:w="150" w:type="dxa"/>
              <w:right w:w="150" w:type="dxa"/>
            </w:tcMar>
          </w:tcPr>
          <w:p>
            <w:pPr>
              <w:jc w:val="left"/>
            </w:pPr>
            <w:r>
              <w:rPr>
                <w:b/>
                <w:color w:val="FFFFFF"/>
                <w:sz w:val="20"/>
              </w:rPr>
              <w:t>Teacher Assessment Tool</w:t>
            </w:r>
          </w:p>
        </w:tc>
        <w:tc>
          <w:tcPr>
            <w:tcW w:type="dxa" w:w="2160"/>
            <w:shd w:val="clear" w:color="auto" w:fill="1A365D"/>
            <w:tcMar>
              <w:top w:w="120" w:type="dxa"/>
              <w:bottom w:w="120" w:type="dxa"/>
              <w:left w:w="150" w:type="dxa"/>
              <w:right w:w="150" w:type="dxa"/>
            </w:tcMar>
          </w:tcPr>
          <w:p>
            <w:pPr>
              <w:jc w:val="center"/>
            </w:pPr>
            <w:r>
              <w:rPr>
                <w:b/>
                <w:color w:val="FFFFFF"/>
                <w:sz w:val="20"/>
              </w:rPr>
              <w:t>Total Marks</w:t>
            </w:r>
          </w:p>
        </w:tc>
      </w:tr>
      <w:tr>
        <w:tc>
          <w:tcPr>
            <w:tcW w:type="dxa" w:w="1440"/>
            <w:tcMar>
              <w:top w:w="80" w:type="dxa"/>
              <w:bottom w:w="80" w:type="dxa"/>
              <w:left w:w="150" w:type="dxa"/>
              <w:right w:w="150" w:type="dxa"/>
            </w:tcMar>
          </w:tcPr>
          <w:p>
            <w:pPr>
              <w:jc w:val="center"/>
            </w:pPr>
            <w:r>
              <w:rPr>
                <w:sz w:val="19"/>
              </w:rPr>
              <w:t>1</w:t>
            </w:r>
          </w:p>
        </w:tc>
        <w:tc>
          <w:tcPr>
            <w:tcW w:type="dxa" w:w="5760"/>
            <w:tcMar>
              <w:top w:w="80" w:type="dxa"/>
              <w:bottom w:w="80" w:type="dxa"/>
              <w:left w:w="150" w:type="dxa"/>
              <w:right w:w="150" w:type="dxa"/>
            </w:tcMar>
          </w:tcPr>
          <w:p>
            <w:pPr>
              <w:jc w:val="left"/>
            </w:pPr>
            <w:r>
              <w:rPr>
                <w:sz w:val="19"/>
              </w:rPr>
              <w:t>Problem Based Learning</w:t>
            </w:r>
          </w:p>
        </w:tc>
        <w:tc>
          <w:tcPr>
            <w:tcW w:type="dxa" w:w="2160"/>
            <w:tcMar>
              <w:top w:w="80" w:type="dxa"/>
              <w:bottom w:w="80" w:type="dxa"/>
              <w:left w:w="150" w:type="dxa"/>
              <w:right w:w="150" w:type="dxa"/>
            </w:tcMar>
          </w:tcPr>
          <w:p>
            <w:pPr>
              <w:jc w:val="center"/>
            </w:pPr>
            <w:r>
              <w:rPr>
                <w:sz w:val="19"/>
              </w:rPr>
              <w:t>10</w:t>
            </w:r>
          </w:p>
        </w:tc>
      </w:tr>
      <w:tr>
        <w:tc>
          <w:tcPr>
            <w:tcW w:type="dxa" w:w="1440"/>
            <w:tcMar>
              <w:top w:w="80" w:type="dxa"/>
              <w:bottom w:w="80" w:type="dxa"/>
              <w:left w:w="150" w:type="dxa"/>
              <w:right w:w="150" w:type="dxa"/>
            </w:tcMar>
            <w:shd w:val="clear" w:color="auto" w:fill="F7FAFC"/>
          </w:tcPr>
          <w:p>
            <w:pPr>
              <w:jc w:val="center"/>
            </w:pPr>
            <w:r>
              <w:rPr>
                <w:sz w:val="19"/>
              </w:rPr>
              <w:t>2</w:t>
            </w:r>
          </w:p>
        </w:tc>
        <w:tc>
          <w:tcPr>
            <w:tcW w:type="dxa" w:w="5760"/>
            <w:tcMar>
              <w:top w:w="80" w:type="dxa"/>
              <w:bottom w:w="80" w:type="dxa"/>
              <w:left w:w="150" w:type="dxa"/>
              <w:right w:w="150" w:type="dxa"/>
            </w:tcMar>
            <w:shd w:val="clear" w:color="auto" w:fill="F7FAFC"/>
          </w:tcPr>
          <w:p>
            <w:pPr>
              <w:jc w:val="left"/>
            </w:pPr>
            <w:r>
              <w:rPr>
                <w:sz w:val="19"/>
              </w:rPr>
              <w:t>Creative Assignment</w:t>
            </w:r>
          </w:p>
        </w:tc>
        <w:tc>
          <w:tcPr>
            <w:tcW w:type="dxa" w:w="2160"/>
            <w:tcMar>
              <w:top w:w="80" w:type="dxa"/>
              <w:bottom w:w="80" w:type="dxa"/>
              <w:left w:w="150" w:type="dxa"/>
              <w:right w:w="150" w:type="dxa"/>
            </w:tcMar>
            <w:shd w:val="clear" w:color="auto" w:fill="F7FAFC"/>
          </w:tcPr>
          <w:p>
            <w:pPr>
              <w:jc w:val="center"/>
            </w:pPr>
            <w:r>
              <w:rPr>
                <w:sz w:val="19"/>
              </w:rPr>
              <w:t>05</w:t>
            </w:r>
          </w:p>
        </w:tc>
      </w:tr>
      <w:tr>
        <w:tc>
          <w:tcPr>
            <w:tcW w:type="dxa" w:w="1440"/>
            <w:tcMar>
              <w:top w:w="80" w:type="dxa"/>
              <w:bottom w:w="80" w:type="dxa"/>
              <w:left w:w="150" w:type="dxa"/>
              <w:right w:w="150" w:type="dxa"/>
            </w:tcMar>
          </w:tcPr>
          <w:p>
            <w:pPr>
              <w:jc w:val="center"/>
            </w:pPr>
            <w:r>
              <w:rPr>
                <w:sz w:val="19"/>
              </w:rPr>
              <w:t>3</w:t>
            </w:r>
          </w:p>
        </w:tc>
        <w:tc>
          <w:tcPr>
            <w:tcW w:type="dxa" w:w="5760"/>
            <w:tcMar>
              <w:top w:w="80" w:type="dxa"/>
              <w:bottom w:w="80" w:type="dxa"/>
              <w:left w:w="150" w:type="dxa"/>
              <w:right w:w="150" w:type="dxa"/>
            </w:tcMar>
          </w:tcPr>
          <w:p>
            <w:pPr>
              <w:jc w:val="left"/>
            </w:pPr>
            <w:r>
              <w:rPr>
                <w:sz w:val="19"/>
              </w:rPr>
              <w:t>Industry Expert Assessment</w:t>
            </w:r>
          </w:p>
        </w:tc>
        <w:tc>
          <w:tcPr>
            <w:tcW w:type="dxa" w:w="2160"/>
            <w:tcMar>
              <w:top w:w="80" w:type="dxa"/>
              <w:bottom w:w="80" w:type="dxa"/>
              <w:left w:w="150" w:type="dxa"/>
              <w:right w:w="150" w:type="dxa"/>
            </w:tcMar>
          </w:tcPr>
          <w:p>
            <w:pPr>
              <w:jc w:val="center"/>
            </w:pPr>
            <w:r>
              <w:rPr>
                <w:sz w:val="19"/>
              </w:rPr>
              <w:t>05</w:t>
            </w:r>
          </w:p>
        </w:tc>
      </w:tr>
    </w:tbl>
    <w:p>
      <w:pPr>
        <w:spacing w:before="240" w:after="240"/>
      </w:pPr>
      <w:r>
        <w:rPr>
          <w:b/>
        </w:rPr>
        <w:t xml:space="preserve">Submitted By : </w:t>
      </w:r>
      <w:r>
        <w:t>Vivek Kothekar</w:t>
        <w:tab/>
        <w:tab/>
        <w:tab/>
      </w:r>
      <w:r>
        <w:rPr>
          <w:b/>
        </w:rPr>
        <w:t xml:space="preserve">Course In-charge : </w:t>
      </w:r>
      <w:r>
        <w:t>Prof. Aniket V. Bhoyar</w:t>
      </w:r>
    </w:p>
    <w:p>
      <w:r>
        <w:br w:type="page"/>
      </w:r>
    </w:p>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keepNext/>
        <w:spacing w:before="280" w:after="80"/>
      </w:pPr>
      <w:r>
        <w:rPr>
          <w:rFonts w:ascii="Arial" w:hAnsi="Arial"/>
          <w:b/>
          <w:color w:val="1A365D"/>
          <w:sz w:val="26"/>
        </w:rPr>
        <w:t>1. Title:</w:t>
      </w:r>
    </w:p>
    <w:p>
      <w:pPr>
        <w:spacing w:before="40" w:after="80" w:line="276" w:lineRule="auto"/>
      </w:pPr>
      <w:r>
        <w:rPr>
          <w:rFonts w:ascii="Arial" w:hAnsi="Arial"/>
          <w:color w:val="2D3748"/>
          <w:sz w:val="21"/>
        </w:rPr>
        <w:t>Institutional AI Chatbot and Virtual Campus Assistant for Automated Student Inquiries, Verified Academic Governance, and Admissions Counseling.</w:t>
      </w:r>
    </w:p>
    <w:p>
      <w:pPr>
        <w:keepNext/>
        <w:spacing w:before="280" w:after="80"/>
      </w:pPr>
      <w:r>
        <w:rPr>
          <w:rFonts w:ascii="Arial" w:hAnsi="Arial"/>
          <w:b/>
          <w:color w:val="1A365D"/>
          <w:sz w:val="26"/>
        </w:rPr>
        <w:t>2. Problem Statement:</w:t>
      </w:r>
    </w:p>
    <w:p>
      <w:pPr>
        <w:spacing w:before="40" w:after="80" w:line="276" w:lineRule="auto"/>
      </w:pPr>
      <w:r>
        <w:rPr>
          <w:rFonts w:ascii="Arial" w:hAnsi="Arial"/>
          <w:color w:val="2D3748"/>
          <w:sz w:val="21"/>
        </w:rPr>
        <w:t>Prospective students, newly enrolled undergraduates, parents, and visiting scholars seeking vital academic, administrative, and admission information from higher education institutes frequently face substantial communication bottlenecks. S. B. Jain Institute of Technology, Management &amp; Research (SBJITMR), Nagpur is an autonomous institute catering to multiple undergraduate and postgraduate disciplines (B.Tech, MBA, MCA, BCA, BBA, M.Tech). The sheer volume of policies, Centralized Admission Process (CAP) timelines, eligibility guidelines, fee structures, examination schedules, accreditation credentials (NAAC 'A' Grade, DTE Code: 4197), and departmental faculty rosters creates two major informational hurdles:</w:t>
      </w:r>
    </w:p>
    <w:p>
      <w:pPr>
        <w:pStyle w:val="ListBullet"/>
        <w:spacing w:before="20" w:after="60" w:line="276" w:lineRule="auto"/>
      </w:pPr>
      <w:r>
        <w:rPr>
          <w:rFonts w:ascii="Arial" w:hAnsi="Arial"/>
          <w:b/>
          <w:color w:val="2D3748"/>
          <w:sz w:val="21"/>
        </w:rPr>
        <w:t xml:space="preserve">1. Information Fragmentation and Discovery Fatigue — </w:t>
      </w:r>
      <w:r>
        <w:rPr>
          <w:rFonts w:ascii="Arial" w:hAnsi="Arial"/>
          <w:color w:val="2D3748"/>
          <w:sz w:val="21"/>
        </w:rPr>
        <w:t>Official academic policies, syllabus schemes, semester exam notifications, admission vacancy notices, and department-specific contact persons are scattered across various subdomains, static PDF circulars, and institutional web pages. Stakeholders spend excessive time searching through web menus or telephoning admission helplines, which often experience high call concurrency during admission seasons and examination periods.</w:t>
      </w:r>
    </w:p>
    <w:p>
      <w:pPr>
        <w:pStyle w:val="ListBullet"/>
        <w:spacing w:before="20" w:after="60" w:line="276" w:lineRule="auto"/>
      </w:pPr>
      <w:r>
        <w:rPr>
          <w:rFonts w:ascii="Arial" w:hAnsi="Arial"/>
          <w:b/>
          <w:color w:val="2D3748"/>
          <w:sz w:val="21"/>
        </w:rPr>
        <w:t xml:space="preserve">2. Hallucination Risk in Generic Conversational Systems — </w:t>
      </w:r>
      <w:r>
        <w:rPr>
          <w:rFonts w:ascii="Arial" w:hAnsi="Arial"/>
          <w:color w:val="2D3748"/>
          <w:sz w:val="21"/>
        </w:rPr>
        <w:t>While commercial large language models (such as raw ChatGPT or Gemini) can generate fluent English text, they suffer from factual hallucinations, outdated cutoff knowledge, or lack of granular awareness regarding local college administrative hierarchies, institutional codes, fee breakdown figures, and specific department laboratories. Giving an erroneous fee figure or incorrect eligibility criteria to an engineering aspirant can have severe administrative and financial repercussions.</w:t>
      </w:r>
    </w:p>
    <w:p>
      <w:pPr>
        <w:spacing w:before="40" w:after="80" w:line="276" w:lineRule="auto"/>
      </w:pPr>
      <w:r>
        <w:rPr>
          <w:rFonts w:ascii="Arial" w:hAnsi="Arial"/>
          <w:color w:val="2D3748"/>
          <w:sz w:val="21"/>
        </w:rPr>
        <w:t>While college administrative staff and counseling cells actively bridge this gap during working hours, personal one-on-one guidance is not always accessible on-demand—particularly during late evenings, weekends, or peak admission counseling periods.</w:t>
      </w:r>
    </w:p>
    <w:p>
      <w:pPr>
        <w:spacing w:before="40" w:after="80" w:line="276" w:lineRule="auto"/>
      </w:pPr>
      <w:r>
        <w:rPr>
          <w:rFonts w:ascii="Arial" w:hAnsi="Arial"/>
          <w:color w:val="2D3748"/>
          <w:sz w:val="21"/>
        </w:rPr>
        <w:t>There is, therefore, a pressing requirement for an intelligent, zero-hallucination, always-available institutional conversational agent. This system must accurately answer complex user queries in plain, accessible natural language, resolve ambiguous questions using contextual knowledge, back every factual claim with authoritative official institutional links, and provide zero-latency responses for verified campus facts while retaining a natural language generation fallback for broader academic queries.</w:t>
      </w:r>
    </w:p>
    <w:p>
      <w:pPr>
        <w:keepNext/>
        <w:spacing w:before="280" w:after="80"/>
      </w:pPr>
      <w:r>
        <w:rPr>
          <w:rFonts w:ascii="Arial" w:hAnsi="Arial"/>
          <w:b/>
          <w:color w:val="1A365D"/>
          <w:sz w:val="26"/>
        </w:rPr>
        <w:t>3. Objective:</w:t>
      </w:r>
    </w:p>
    <w:p>
      <w:pPr>
        <w:pStyle w:val="ListBullet"/>
        <w:spacing w:before="20" w:after="60" w:line="276" w:lineRule="auto"/>
      </w:pPr>
      <w:r>
        <w:rPr>
          <w:rFonts w:ascii="Arial" w:hAnsi="Arial"/>
          <w:b/>
          <w:color w:val="2D3748"/>
          <w:sz w:val="21"/>
        </w:rPr>
        <w:t xml:space="preserve">1. </w:t>
      </w:r>
      <w:r>
        <w:rPr>
          <w:rFonts w:ascii="Arial" w:hAnsi="Arial"/>
          <w:color w:val="2D3748"/>
          <w:sz w:val="21"/>
        </w:rPr>
        <w:t>To design and engineer an interactive, web-based institutional AI assistant tailored specifically to S. B. Jain Institute of Technology, Management &amp; Research (SBJITMR), Nagpur, serving students, parents, and faculty through a unified conversational web portal.</w:t>
      </w:r>
    </w:p>
    <w:p>
      <w:pPr>
        <w:pStyle w:val="ListBullet"/>
        <w:spacing w:before="20" w:after="60" w:line="276" w:lineRule="auto"/>
      </w:pPr>
      <w:r>
        <w:rPr>
          <w:rFonts w:ascii="Arial" w:hAnsi="Arial"/>
          <w:b/>
          <w:color w:val="2D3748"/>
          <w:sz w:val="21"/>
        </w:rPr>
        <w:t xml:space="preserve">2. </w:t>
      </w:r>
      <w:r>
        <w:rPr>
          <w:rFonts w:ascii="Arial" w:hAnsi="Arial"/>
          <w:color w:val="2D3748"/>
          <w:sz w:val="21"/>
        </w:rPr>
        <w:t>To construct a deterministic, multi-module Knowledge Base (KB) partitioned across 17 structured JSON domains (administration, governance, admissions, deans, departments, fees, scholarships, examinations, placements, committees, campus facilities, and verified Q&amp;A pairs) that executes sub-millisecond retrieval.</w:t>
      </w:r>
    </w:p>
    <w:p>
      <w:pPr>
        <w:pStyle w:val="ListBullet"/>
        <w:spacing w:before="20" w:after="60" w:line="276" w:lineRule="auto"/>
      </w:pPr>
      <w:r>
        <w:rPr>
          <w:rFonts w:ascii="Arial" w:hAnsi="Arial"/>
          <w:b/>
          <w:color w:val="2D3748"/>
          <w:sz w:val="21"/>
        </w:rPr>
        <w:t xml:space="preserve">3. </w:t>
      </w:r>
      <w:r>
        <w:rPr>
          <w:rFonts w:ascii="Arial" w:hAnsi="Arial"/>
          <w:color w:val="2D3748"/>
          <w:sz w:val="21"/>
        </w:rPr>
        <w:t>To formulate a hybrid dual-layer question-answering pipeline that resolves verified factual queries through fast local matching and routes open-ended, conceptual, or complex inquiries to a Large Language Model (Google Gemini API).</w:t>
      </w:r>
    </w:p>
    <w:p>
      <w:pPr>
        <w:pStyle w:val="ListBullet"/>
        <w:spacing w:before="20" w:after="60" w:line="276" w:lineRule="auto"/>
      </w:pPr>
      <w:r>
        <w:rPr>
          <w:rFonts w:ascii="Arial" w:hAnsi="Arial"/>
          <w:b/>
          <w:color w:val="2D3748"/>
          <w:sz w:val="21"/>
        </w:rPr>
        <w:t xml:space="preserve">4. </w:t>
      </w:r>
      <w:r>
        <w:rPr>
          <w:rFonts w:ascii="Arial" w:hAnsi="Arial"/>
          <w:color w:val="2D3748"/>
          <w:sz w:val="21"/>
        </w:rPr>
        <w:t>To implement strict anti-hallucination grounding mechanisms ensuring that all answers regarding eligibility, fees, autonomous status, NAAC accreditation, and deans are factual, verified, and accompanied by clickable official citation links to https://www.sbjit.edu.in/.</w:t>
      </w:r>
    </w:p>
    <w:p>
      <w:pPr>
        <w:pStyle w:val="ListBullet"/>
        <w:spacing w:before="20" w:after="60" w:line="276" w:lineRule="auto"/>
      </w:pPr>
      <w:r>
        <w:rPr>
          <w:rFonts w:ascii="Arial" w:hAnsi="Arial"/>
          <w:b/>
          <w:color w:val="2D3748"/>
          <w:sz w:val="21"/>
        </w:rPr>
        <w:t xml:space="preserve">5. </w:t>
      </w:r>
      <w:r>
        <w:rPr>
          <w:rFonts w:ascii="Arial" w:hAnsi="Arial"/>
          <w:color w:val="2D3748"/>
          <w:sz w:val="21"/>
        </w:rPr>
        <w:t>To integrate conversational dialogue memory into the chat engine so that follow-up questions (e.g., 'What about direct second year?', 'Who is the HOD?', 'What are the fees for OBC?') are understood and resolved in proper discourse context.</w:t>
      </w:r>
    </w:p>
    <w:p>
      <w:pPr>
        <w:pStyle w:val="ListBullet"/>
        <w:spacing w:before="20" w:after="60" w:line="276" w:lineRule="auto"/>
      </w:pPr>
      <w:r>
        <w:rPr>
          <w:rFonts w:ascii="Arial" w:hAnsi="Arial"/>
          <w:b/>
          <w:color w:val="2D3748"/>
          <w:sz w:val="21"/>
        </w:rPr>
        <w:t xml:space="preserve">6. </w:t>
      </w:r>
      <w:r>
        <w:rPr>
          <w:rFonts w:ascii="Arial" w:hAnsi="Arial"/>
          <w:color w:val="2D3748"/>
          <w:sz w:val="21"/>
        </w:rPr>
        <w:t>To implement robust NLP token overlap, fuzzy string matching, and regex boundary routing algorithms to eliminate false-positive substring collisions (e.g., distinguishing 'admission' from 'mission').</w:t>
      </w:r>
    </w:p>
    <w:p>
      <w:pPr>
        <w:pStyle w:val="ListBullet"/>
        <w:spacing w:before="20" w:after="60" w:line="276" w:lineRule="auto"/>
      </w:pPr>
      <w:r>
        <w:rPr>
          <w:rFonts w:ascii="Arial" w:hAnsi="Arial"/>
          <w:b/>
          <w:color w:val="2D3748"/>
          <w:sz w:val="21"/>
        </w:rPr>
        <w:t xml:space="preserve">7. </w:t>
      </w:r>
      <w:r>
        <w:rPr>
          <w:rFonts w:ascii="Arial" w:hAnsi="Arial"/>
          <w:color w:val="2D3748"/>
          <w:sz w:val="21"/>
        </w:rPr>
        <w:t>To deploy a production-ready, fully responsive client-server web application built with Python Flask, Gunicorn WSGI, Semantic HTML5, Glassmorphism CSS3, and Vanilla JavaScript, with automated unit testing achieving 100% test pass rates across all test queries.</w:t>
      </w:r>
    </w:p>
    <w:p>
      <w:r>
        <w:br w:type="page"/>
      </w:r>
    </w:p>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keepNext/>
        <w:spacing w:before="280" w:after="80"/>
      </w:pPr>
      <w:r>
        <w:rPr>
          <w:rFonts w:ascii="Arial" w:hAnsi="Arial"/>
          <w:b/>
          <w:color w:val="1A365D"/>
          <w:sz w:val="26"/>
        </w:rPr>
        <w:t>4. Relevance to Natural Language Processing:</w:t>
      </w:r>
    </w:p>
    <w:p>
      <w:pPr>
        <w:spacing w:before="40" w:after="80" w:line="276" w:lineRule="auto"/>
      </w:pPr>
      <w:r>
        <w:rPr>
          <w:rFonts w:ascii="Arial" w:hAnsi="Arial"/>
          <w:color w:val="2D3748"/>
          <w:sz w:val="21"/>
        </w:rPr>
        <w:t>The SBJITMR Information Chatbot is fundamentally grounded in applied Natural Language Processing (NLP), as its core functionality—translating heterogeneous, non-standard user inquiries into structured machine queries and generating fluent, human-understandable answers—directly relies on modern natural language understanding (NLU) and generation (NLG) techniques. The relevance of NLP spans across several key dimensions:</w:t>
      </w:r>
    </w:p>
    <w:p>
      <w:pPr>
        <w:spacing w:before="40" w:after="80" w:line="276" w:lineRule="auto"/>
      </w:pPr>
      <w:r>
        <w:rPr>
          <w:rFonts w:ascii="Arial" w:hAnsi="Arial"/>
          <w:b/>
          <w:color w:val="2D3748"/>
          <w:sz w:val="21"/>
        </w:rPr>
        <w:t xml:space="preserve">1. Information Retrieval (IR) and Semantic Question Answering (QA): </w:t>
      </w:r>
      <w:r>
        <w:rPr>
          <w:rFonts w:ascii="Arial" w:hAnsi="Arial"/>
          <w:color w:val="2D3748"/>
          <w:sz w:val="21"/>
        </w:rPr>
        <w:t>The system maps unstructured natural language questions submitted by users into structured institutional knowledge. This involves text normalization, stop-word filtering, lexical tokenization, and semantic keyphrase extraction to match queries against a verified corpus of institutional records.</w:t>
      </w:r>
    </w:p>
    <w:p>
      <w:pPr>
        <w:spacing w:before="40" w:after="80" w:line="276" w:lineRule="auto"/>
      </w:pPr>
      <w:r>
        <w:rPr>
          <w:rFonts w:ascii="Arial" w:hAnsi="Arial"/>
          <w:b/>
          <w:color w:val="2D3748"/>
          <w:sz w:val="21"/>
        </w:rPr>
        <w:t xml:space="preserve">2. Natural Language Generation (NLG) with Strict Grounding: </w:t>
      </w:r>
      <w:r>
        <w:rPr>
          <w:rFonts w:ascii="Arial" w:hAnsi="Arial"/>
          <w:color w:val="2D3748"/>
          <w:sz w:val="21"/>
        </w:rPr>
        <w:t>When synthesizing responses for novel or complex questions, the system utilizes NLG via a Transformer-based LLM. The model receives a condensed, verified context digest of institutional facts and generates grammatically sound, pedagogically clear, and context-bound explanations, eliminating factual drift.</w:t>
      </w:r>
    </w:p>
    <w:p>
      <w:pPr>
        <w:spacing w:before="40" w:after="80" w:line="276" w:lineRule="auto"/>
      </w:pPr>
      <w:r>
        <w:rPr>
          <w:rFonts w:ascii="Arial" w:hAnsi="Arial"/>
          <w:b/>
          <w:color w:val="2D3748"/>
          <w:sz w:val="21"/>
        </w:rPr>
        <w:t xml:space="preserve">3. Prompt Engineering and Few-Shot In-Context Learning: </w:t>
      </w:r>
      <w:r>
        <w:rPr>
          <w:rFonts w:ascii="Arial" w:hAnsi="Arial"/>
          <w:color w:val="2D3748"/>
          <w:sz w:val="21"/>
        </w:rPr>
        <w:t>The orchestration service implements sophisticated prompt engineering by defining persona constraints (official institutional representative), formatting constraints (markdown hierarchy, bullet points, source citations), and negative constraints (explicit instruction to decline speculation if an item cannot be officially verified). This is a modern NLP methodology for controlling model behavior without expensive fine-tuning.</w:t>
      </w:r>
    </w:p>
    <w:p>
      <w:pPr>
        <w:spacing w:before="40" w:after="80" w:line="276" w:lineRule="auto"/>
      </w:pPr>
      <w:r>
        <w:rPr>
          <w:rFonts w:ascii="Arial" w:hAnsi="Arial"/>
          <w:b/>
          <w:color w:val="2D3748"/>
          <w:sz w:val="21"/>
        </w:rPr>
        <w:t xml:space="preserve">4. Conversational Context and Dialogue Management: </w:t>
      </w:r>
      <w:r>
        <w:rPr>
          <w:rFonts w:ascii="Arial" w:hAnsi="Arial"/>
          <w:color w:val="2D3748"/>
          <w:sz w:val="21"/>
        </w:rPr>
        <w:t>Conversations in campus counseling rarely occur in single turns; users ask elliptical follow-ups like 'What are the fees?' after asking about 'B.Tech CSE'. The system maintains a sliding session context window that binds pronouns and elliptical phrases to previous conversational referents (coreference resolution).</w:t>
      </w:r>
    </w:p>
    <w:p>
      <w:pPr>
        <w:spacing w:before="40" w:after="80" w:line="276" w:lineRule="auto"/>
      </w:pPr>
      <w:r>
        <w:rPr>
          <w:rFonts w:ascii="Arial" w:hAnsi="Arial"/>
          <w:b/>
          <w:color w:val="2D3748"/>
          <w:sz w:val="21"/>
        </w:rPr>
        <w:t xml:space="preserve">5. Text Classification and Intent Detection: </w:t>
      </w:r>
      <w:r>
        <w:rPr>
          <w:rFonts w:ascii="Arial" w:hAnsi="Arial"/>
          <w:color w:val="2D3748"/>
          <w:sz w:val="21"/>
        </w:rPr>
        <w:t>Natural language exhibits morphological polysemy and substring overlaps (e.g., the word 'mission' nested inside 'admission'). The project utilizes regex word-boundary anchors (\b...\b) and token set scoring to classify query intents without mistargeting rules.</w:t>
      </w:r>
    </w:p>
    <w:p>
      <w:pPr>
        <w:spacing w:before="40" w:after="80" w:line="276" w:lineRule="auto"/>
      </w:pPr>
      <w:r>
        <w:rPr>
          <w:rFonts w:ascii="Arial" w:hAnsi="Arial"/>
          <w:b/>
          <w:color w:val="2D3748"/>
          <w:sz w:val="21"/>
        </w:rPr>
        <w:t xml:space="preserve">6. Text Normalization and Robustness to User Typing Variations: </w:t>
      </w:r>
      <w:r>
        <w:rPr>
          <w:rFonts w:ascii="Arial" w:hAnsi="Arial"/>
          <w:color w:val="2D3748"/>
          <w:sz w:val="21"/>
        </w:rPr>
        <w:t>Prospective students often type casual, unpunctuated, or misspelled inputs (e.g., 'sbjit mr', 'hod aiml', 'dsy addmission'). The normalization engine strips diacritics, case variations, and special characters to ensure robust semantic alignment.</w:t>
      </w:r>
    </w:p>
    <w:p>
      <w:pPr>
        <w:keepNext/>
        <w:spacing w:before="280" w:after="80"/>
      </w:pPr>
      <w:r>
        <w:rPr>
          <w:rFonts w:ascii="Arial" w:hAnsi="Arial"/>
          <w:b/>
          <w:color w:val="1A365D"/>
          <w:sz w:val="26"/>
        </w:rPr>
        <w:t>5. Techniques / Algorithms Used:</w:t>
      </w:r>
    </w:p>
    <w:p>
      <w:pPr>
        <w:keepNext/>
        <w:spacing w:before="200" w:after="60"/>
      </w:pPr>
      <w:r>
        <w:rPr>
          <w:rFonts w:ascii="Arial" w:hAnsi="Arial"/>
          <w:b/>
          <w:color w:val="2C5282"/>
          <w:sz w:val="23"/>
        </w:rPr>
        <w:t>5.1 Large Language Model (LLM) Inference — Google Gemini 2.5 Flash</w:t>
      </w:r>
    </w:p>
    <w:p>
      <w:pPr>
        <w:spacing w:before="40" w:after="80" w:line="276" w:lineRule="auto"/>
      </w:pPr>
      <w:r>
        <w:rPr>
          <w:rFonts w:ascii="Arial" w:hAnsi="Arial"/>
          <w:color w:val="2D3748"/>
          <w:sz w:val="21"/>
        </w:rPr>
        <w:t>The generative intelligence layer is powered by Google's state-of-the-art Gemini Flash model via the official google-genai Python SDK. When a user inquiry cannot be fully answered by deterministic pattern matching, the model performs zero-shot reasoning over an in-memory knowledge digest, formatting its output in conversational markdown with clear institutional citations.</w:t>
      </w:r>
    </w:p>
    <w:p>
      <w:pPr>
        <w:keepNext/>
        <w:spacing w:before="200" w:after="60"/>
      </w:pPr>
      <w:r>
        <w:rPr>
          <w:rFonts w:ascii="Arial" w:hAnsi="Arial"/>
          <w:b/>
          <w:color w:val="2C5282"/>
          <w:sz w:val="23"/>
        </w:rPr>
        <w:t>5.2 Deterministic Multi-Module In-Memory Knowledge Base Routing</w:t>
      </w:r>
    </w:p>
    <w:p>
      <w:pPr>
        <w:spacing w:before="40" w:after="80" w:line="276" w:lineRule="auto"/>
      </w:pPr>
      <w:r>
        <w:rPr>
          <w:rFonts w:ascii="Arial" w:hAnsi="Arial"/>
          <w:color w:val="2D3748"/>
          <w:sz w:val="21"/>
        </w:rPr>
        <w:t>To guarantee zero latency (&lt;1ms) and absolute factual correctness for core institutional facts (Principal, CEO, Deans, HODs, NAAC grade, DTE code 4197), an in-memory knowledge graph partitioned across 17 JSON datasets is queried first. If an exact or high-confidence rule match is found, the system bypasses external LLM API calls entirely.</w:t>
      </w:r>
    </w:p>
    <w:p>
      <w:pPr>
        <w:keepNext/>
        <w:spacing w:before="200" w:after="60"/>
      </w:pPr>
      <w:r>
        <w:rPr>
          <w:rFonts w:ascii="Arial" w:hAnsi="Arial"/>
          <w:b/>
          <w:color w:val="2C5282"/>
          <w:sz w:val="23"/>
        </w:rPr>
        <w:t>5.3 Token Overlap and Jaccard-Based Question Matching</w:t>
      </w:r>
    </w:p>
    <w:p>
      <w:pPr>
        <w:spacing w:before="40" w:after="80" w:line="276" w:lineRule="auto"/>
      </w:pPr>
      <w:r>
        <w:rPr>
          <w:rFonts w:ascii="Arial" w:hAnsi="Arial"/>
          <w:color w:val="2D3748"/>
          <w:sz w:val="21"/>
        </w:rPr>
        <w:t>For pre-indexed institutional Q&amp;A pairs, the retrieval engine applies a token-set overlap scoring algorithm: Score = |T(Q_user) ∩ T(Q_indexed)| / |T(Q_indexed)|. Queries scoring above a threshold are immediately served with officially verified, pre-authored institutional responses.</w:t>
      </w:r>
    </w:p>
    <w:p>
      <w:pPr>
        <w:keepNext/>
        <w:spacing w:before="200" w:after="60"/>
      </w:pPr>
      <w:r>
        <w:rPr>
          <w:rFonts w:ascii="Arial" w:hAnsi="Arial"/>
          <w:b/>
          <w:color w:val="2C5282"/>
          <w:sz w:val="23"/>
        </w:rPr>
        <w:t>5.4 Regex Boundary Disambiguation</w:t>
      </w:r>
    </w:p>
    <w:p>
      <w:pPr>
        <w:spacing w:before="40" w:after="80" w:line="276" w:lineRule="auto"/>
      </w:pPr>
      <w:r>
        <w:rPr>
          <w:rFonts w:ascii="Arial" w:hAnsi="Arial"/>
          <w:color w:val="2D3748"/>
          <w:sz w:val="21"/>
        </w:rPr>
        <w:t>To prevent substring misfires (such as matching 'mission' when a candidate asks about 'direct second year admission'), lexical patterns are wrapped in strict word-boundary regular expressions (re.search(r'\b(vision|mission)\b', query)).</w:t>
      </w:r>
    </w:p>
    <w:p>
      <w:pPr>
        <w:keepNext/>
        <w:spacing w:before="200" w:after="60"/>
      </w:pPr>
      <w:r>
        <w:rPr>
          <w:rFonts w:ascii="Arial" w:hAnsi="Arial"/>
          <w:b/>
          <w:color w:val="2C5282"/>
          <w:sz w:val="23"/>
        </w:rPr>
        <w:t>5.5 Client-Side and Server-Side Dialogue State Management</w:t>
      </w:r>
    </w:p>
    <w:p>
      <w:pPr>
        <w:spacing w:before="40" w:after="80" w:line="276" w:lineRule="auto"/>
      </w:pPr>
      <w:r>
        <w:rPr>
          <w:rFonts w:ascii="Arial" w:hAnsi="Arial"/>
          <w:color w:val="2D3748"/>
          <w:sz w:val="21"/>
        </w:rPr>
        <w:t>A unique session identifier (session_id via UUIDv4) tracks the multi-turn conversational history. Recent user and assistant utterances are appended to a rolling dialog memory queue, ensuring coherent contextual comprehension during consecutive queries.</w:t>
      </w:r>
    </w:p>
    <w:p>
      <w:pPr>
        <w:keepNext/>
        <w:spacing w:before="200" w:after="60"/>
      </w:pPr>
      <w:r>
        <w:rPr>
          <w:rFonts w:ascii="Arial" w:hAnsi="Arial"/>
          <w:b/>
          <w:color w:val="2C5282"/>
          <w:sz w:val="23"/>
        </w:rPr>
        <w:t>5.6 RESTful Client-Server Micro-Architecture</w:t>
      </w:r>
    </w:p>
    <w:p>
      <w:pPr>
        <w:spacing w:before="40" w:after="80" w:line="276" w:lineRule="auto"/>
      </w:pPr>
      <w:r>
        <w:rPr>
          <w:rFonts w:ascii="Arial" w:hAnsi="Arial"/>
          <w:color w:val="2D3748"/>
          <w:sz w:val="21"/>
        </w:rPr>
        <w:t>The backend is structured as a decoupled REST service exposing /api/chat, /api/health, and /api/clear JSON endpoints. This separates the natural language computation layer from the user presentation layer.</w:t>
      </w:r>
    </w:p>
    <w:p>
      <w:pPr>
        <w:keepNext/>
        <w:spacing w:before="200" w:after="60"/>
      </w:pPr>
      <w:r>
        <w:rPr>
          <w:rFonts w:ascii="Arial" w:hAnsi="Arial"/>
          <w:b/>
          <w:color w:val="2C5282"/>
          <w:sz w:val="23"/>
        </w:rPr>
        <w:t>5.7 Automated Anti-Hallucination Source Attribution</w:t>
      </w:r>
    </w:p>
    <w:p>
      <w:pPr>
        <w:spacing w:before="40" w:after="80" w:line="276" w:lineRule="auto"/>
      </w:pPr>
      <w:r>
        <w:rPr>
          <w:rFonts w:ascii="Arial" w:hAnsi="Arial"/>
          <w:color w:val="2D3748"/>
          <w:sz w:val="21"/>
        </w:rPr>
        <w:t>Every generated response includes a structured array of source objects consisting of official page titles and exact URLs (https://www.sbjit.edu.in/...). If an item cannot be authoritatively corroborated, the system transparently declines to answer and redirects the user to official helpline channels.</w:t>
      </w:r>
    </w:p>
    <w:p>
      <w:pPr>
        <w:keepNext/>
        <w:spacing w:before="200" w:after="60"/>
      </w:pPr>
      <w:r>
        <w:rPr>
          <w:rFonts w:ascii="Arial" w:hAnsi="Arial"/>
          <w:b/>
          <w:color w:val="2C5282"/>
          <w:sz w:val="23"/>
        </w:rPr>
        <w:t>5.8 Client-Side Markdown Rendering and Dynamic UI</w:t>
      </w:r>
    </w:p>
    <w:p>
      <w:pPr>
        <w:spacing w:before="40" w:after="80" w:line="276" w:lineRule="auto"/>
      </w:pPr>
      <w:r>
        <w:rPr>
          <w:rFonts w:ascii="Arial" w:hAnsi="Arial"/>
          <w:color w:val="2D3748"/>
          <w:sz w:val="21"/>
        </w:rPr>
        <w:t>The frontend renders markdown-formatted responses dynamically, transforming bullet lists, bold highlights, tables, and hyperlinks into a clean visual presentation with copy-to-clipboard functionality and quick-prompt suggestion chips.</w:t>
      </w:r>
    </w:p>
    <w:p>
      <w:r>
        <w:br w:type="page"/>
      </w:r>
    </w:p>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keepNext/>
        <w:spacing w:before="280" w:after="80"/>
      </w:pPr>
      <w:r>
        <w:rPr>
          <w:rFonts w:ascii="Arial" w:hAnsi="Arial"/>
          <w:b/>
          <w:color w:val="1A365D"/>
          <w:sz w:val="26"/>
        </w:rPr>
        <w:t>6. Summary of Core Technical Components:</w:t>
      </w:r>
    </w:p>
    <w:tbl>
      <w:tblPr>
        <w:tblW w:type="auto" w:w="0"/>
        <w:jc w:val="center"/>
        <w:tblLayout w:type="fixed"/>
        <w:tblLook w:firstColumn="1" w:firstRow="1" w:lastColumn="0" w:lastRow="0" w:noHBand="0" w:noVBand="1" w:val="04A0"/>
      </w:tblPr>
      <w:tblGrid>
        <w:gridCol w:w="3120"/>
        <w:gridCol w:w="3120"/>
        <w:gridCol w:w="3120"/>
      </w:tblGrid>
      <w:tr>
        <w:tc>
          <w:tcPr>
            <w:tcW w:type="dxa" w:w="1296"/>
            <w:shd w:val="clear" w:color="auto" w:fill="1A365D"/>
            <w:tcMar>
              <w:top w:w="100" w:type="dxa"/>
              <w:bottom w:w="100" w:type="dxa"/>
              <w:left w:w="120" w:type="dxa"/>
              <w:right w:w="120" w:type="dxa"/>
            </w:tcMar>
          </w:tcPr>
          <w:p>
            <w:pPr>
              <w:jc w:val="center"/>
            </w:pPr>
            <w:r>
              <w:rPr>
                <w:b/>
                <w:color w:val="FFFFFF"/>
                <w:sz w:val="19"/>
              </w:rPr>
              <w:t>Index</w:t>
            </w:r>
          </w:p>
        </w:tc>
        <w:tc>
          <w:tcPr>
            <w:tcW w:type="dxa" w:w="3168"/>
            <w:shd w:val="clear" w:color="auto" w:fill="1A365D"/>
            <w:tcMar>
              <w:top w:w="100" w:type="dxa"/>
              <w:bottom w:w="100" w:type="dxa"/>
              <w:left w:w="120" w:type="dxa"/>
              <w:right w:w="120" w:type="dxa"/>
            </w:tcMar>
          </w:tcPr>
          <w:p>
            <w:pPr>
              <w:jc w:val="left"/>
            </w:pPr>
            <w:r>
              <w:rPr>
                <w:b/>
                <w:color w:val="FFFFFF"/>
                <w:sz w:val="19"/>
              </w:rPr>
              <w:t>Technique / Module</w:t>
            </w:r>
          </w:p>
        </w:tc>
        <w:tc>
          <w:tcPr>
            <w:tcW w:type="dxa" w:w="4896"/>
            <w:shd w:val="clear" w:color="auto" w:fill="1A365D"/>
            <w:tcMar>
              <w:top w:w="100" w:type="dxa"/>
              <w:bottom w:w="100" w:type="dxa"/>
              <w:left w:w="120" w:type="dxa"/>
              <w:right w:w="120" w:type="dxa"/>
            </w:tcMar>
          </w:tcPr>
          <w:p>
            <w:pPr>
              <w:jc w:val="left"/>
            </w:pPr>
            <w:r>
              <w:rPr>
                <w:b/>
                <w:color w:val="FFFFFF"/>
                <w:sz w:val="19"/>
              </w:rPr>
              <w:t>Purpose in System</w:t>
            </w:r>
          </w:p>
        </w:tc>
      </w:tr>
      <w:tr>
        <w:tc>
          <w:tcPr>
            <w:tcW w:type="dxa" w:w="1296"/>
            <w:tcMar>
              <w:top w:w="80" w:type="dxa"/>
              <w:bottom w:w="80" w:type="dxa"/>
              <w:left w:w="120" w:type="dxa"/>
              <w:right w:w="120" w:type="dxa"/>
            </w:tcMar>
          </w:tcPr>
          <w:p>
            <w:pPr>
              <w:jc w:val="center"/>
            </w:pPr>
            <w:r>
              <w:rPr>
                <w:sz w:val="18"/>
              </w:rPr>
              <w:t>6.1</w:t>
            </w:r>
          </w:p>
        </w:tc>
        <w:tc>
          <w:tcPr>
            <w:tcW w:type="dxa" w:w="3168"/>
            <w:tcMar>
              <w:top w:w="80" w:type="dxa"/>
              <w:bottom w:w="80" w:type="dxa"/>
              <w:left w:w="120" w:type="dxa"/>
              <w:right w:w="120" w:type="dxa"/>
            </w:tcMar>
          </w:tcPr>
          <w:p>
            <w:pPr>
              <w:jc w:val="left"/>
            </w:pPr>
            <w:r>
              <w:rPr>
                <w:sz w:val="18"/>
              </w:rPr>
              <w:t>Google Gemini Flash LLM</w:t>
            </w:r>
          </w:p>
        </w:tc>
        <w:tc>
          <w:tcPr>
            <w:tcW w:type="dxa" w:w="4896"/>
            <w:tcMar>
              <w:top w:w="80" w:type="dxa"/>
              <w:bottom w:w="80" w:type="dxa"/>
              <w:left w:w="120" w:type="dxa"/>
              <w:right w:w="120" w:type="dxa"/>
            </w:tcMar>
          </w:tcPr>
          <w:p>
            <w:pPr>
              <w:jc w:val="left"/>
            </w:pPr>
            <w:r>
              <w:rPr>
                <w:sz w:val="18"/>
              </w:rPr>
              <w:t>Generative inference, natural language synthesis, and semantic reasoning for complex queries.</w:t>
            </w:r>
          </w:p>
        </w:tc>
      </w:tr>
      <w:tr>
        <w:tc>
          <w:tcPr>
            <w:tcW w:type="dxa" w:w="1296"/>
            <w:tcMar>
              <w:top w:w="80" w:type="dxa"/>
              <w:bottom w:w="80" w:type="dxa"/>
              <w:left w:w="120" w:type="dxa"/>
              <w:right w:w="120" w:type="dxa"/>
            </w:tcMar>
            <w:shd w:val="clear" w:color="auto" w:fill="F7FAFC"/>
          </w:tcPr>
          <w:p>
            <w:pPr>
              <w:jc w:val="center"/>
            </w:pPr>
            <w:r>
              <w:rPr>
                <w:sz w:val="18"/>
              </w:rPr>
              <w:t>6.2</w:t>
            </w:r>
          </w:p>
        </w:tc>
        <w:tc>
          <w:tcPr>
            <w:tcW w:type="dxa" w:w="3168"/>
            <w:tcMar>
              <w:top w:w="80" w:type="dxa"/>
              <w:bottom w:w="80" w:type="dxa"/>
              <w:left w:w="120" w:type="dxa"/>
              <w:right w:w="120" w:type="dxa"/>
            </w:tcMar>
            <w:shd w:val="clear" w:color="auto" w:fill="F7FAFC"/>
          </w:tcPr>
          <w:p>
            <w:pPr>
              <w:jc w:val="left"/>
            </w:pPr>
            <w:r>
              <w:rPr>
                <w:sz w:val="18"/>
              </w:rPr>
              <w:t>In-Memory JSON KB (17 Files)</w:t>
            </w:r>
          </w:p>
        </w:tc>
        <w:tc>
          <w:tcPr>
            <w:tcW w:type="dxa" w:w="4896"/>
            <w:tcMar>
              <w:top w:w="80" w:type="dxa"/>
              <w:bottom w:w="80" w:type="dxa"/>
              <w:left w:w="120" w:type="dxa"/>
              <w:right w:w="120" w:type="dxa"/>
            </w:tcMar>
            <w:shd w:val="clear" w:color="auto" w:fill="F7FAFC"/>
          </w:tcPr>
          <w:p>
            <w:pPr>
              <w:jc w:val="left"/>
            </w:pPr>
            <w:r>
              <w:rPr>
                <w:sz w:val="18"/>
              </w:rPr>
              <w:t>Deterministic, zero-latency ground truth storage covering all college operations.</w:t>
            </w:r>
          </w:p>
        </w:tc>
      </w:tr>
      <w:tr>
        <w:tc>
          <w:tcPr>
            <w:tcW w:type="dxa" w:w="1296"/>
            <w:tcMar>
              <w:top w:w="80" w:type="dxa"/>
              <w:bottom w:w="80" w:type="dxa"/>
              <w:left w:w="120" w:type="dxa"/>
              <w:right w:w="120" w:type="dxa"/>
            </w:tcMar>
          </w:tcPr>
          <w:p>
            <w:pPr>
              <w:jc w:val="center"/>
            </w:pPr>
            <w:r>
              <w:rPr>
                <w:sz w:val="18"/>
              </w:rPr>
              <w:t>6.3</w:t>
            </w:r>
          </w:p>
        </w:tc>
        <w:tc>
          <w:tcPr>
            <w:tcW w:type="dxa" w:w="3168"/>
            <w:tcMar>
              <w:top w:w="80" w:type="dxa"/>
              <w:bottom w:w="80" w:type="dxa"/>
              <w:left w:w="120" w:type="dxa"/>
              <w:right w:w="120" w:type="dxa"/>
            </w:tcMar>
          </w:tcPr>
          <w:p>
            <w:pPr>
              <w:jc w:val="left"/>
            </w:pPr>
            <w:r>
              <w:rPr>
                <w:sz w:val="18"/>
              </w:rPr>
              <w:t>Prompt Grounding Architecture</w:t>
            </w:r>
          </w:p>
        </w:tc>
        <w:tc>
          <w:tcPr>
            <w:tcW w:type="dxa" w:w="4896"/>
            <w:tcMar>
              <w:top w:w="80" w:type="dxa"/>
              <w:bottom w:w="80" w:type="dxa"/>
              <w:left w:w="120" w:type="dxa"/>
              <w:right w:w="120" w:type="dxa"/>
            </w:tcMar>
          </w:tcPr>
          <w:p>
            <w:pPr>
              <w:jc w:val="left"/>
            </w:pPr>
            <w:r>
              <w:rPr>
                <w:sz w:val="18"/>
              </w:rPr>
              <w:t>Constraining LLM generation with verified college facts to prevent factual hallucination.</w:t>
            </w:r>
          </w:p>
        </w:tc>
      </w:tr>
      <w:tr>
        <w:tc>
          <w:tcPr>
            <w:tcW w:type="dxa" w:w="1296"/>
            <w:tcMar>
              <w:top w:w="80" w:type="dxa"/>
              <w:bottom w:w="80" w:type="dxa"/>
              <w:left w:w="120" w:type="dxa"/>
              <w:right w:w="120" w:type="dxa"/>
            </w:tcMar>
            <w:shd w:val="clear" w:color="auto" w:fill="F7FAFC"/>
          </w:tcPr>
          <w:p>
            <w:pPr>
              <w:jc w:val="center"/>
            </w:pPr>
            <w:r>
              <w:rPr>
                <w:sz w:val="18"/>
              </w:rPr>
              <w:t>6.4</w:t>
            </w:r>
          </w:p>
        </w:tc>
        <w:tc>
          <w:tcPr>
            <w:tcW w:type="dxa" w:w="3168"/>
            <w:tcMar>
              <w:top w:w="80" w:type="dxa"/>
              <w:bottom w:w="80" w:type="dxa"/>
              <w:left w:w="120" w:type="dxa"/>
              <w:right w:w="120" w:type="dxa"/>
            </w:tcMar>
            <w:shd w:val="clear" w:color="auto" w:fill="F7FAFC"/>
          </w:tcPr>
          <w:p>
            <w:pPr>
              <w:jc w:val="left"/>
            </w:pPr>
            <w:r>
              <w:rPr>
                <w:sz w:val="18"/>
              </w:rPr>
              <w:t>Jaccard Token Matching</w:t>
            </w:r>
          </w:p>
        </w:tc>
        <w:tc>
          <w:tcPr>
            <w:tcW w:type="dxa" w:w="4896"/>
            <w:tcMar>
              <w:top w:w="80" w:type="dxa"/>
              <w:bottom w:w="80" w:type="dxa"/>
              <w:left w:w="120" w:type="dxa"/>
              <w:right w:w="120" w:type="dxa"/>
            </w:tcMar>
            <w:shd w:val="clear" w:color="auto" w:fill="F7FAFC"/>
          </w:tcPr>
          <w:p>
            <w:pPr>
              <w:jc w:val="left"/>
            </w:pPr>
            <w:r>
              <w:rPr>
                <w:sz w:val="18"/>
              </w:rPr>
              <w:t>Fuzzy similarity assessment between user phrasing and indexed campus Q&amp;A pairs.</w:t>
            </w:r>
          </w:p>
        </w:tc>
      </w:tr>
      <w:tr>
        <w:tc>
          <w:tcPr>
            <w:tcW w:type="dxa" w:w="1296"/>
            <w:tcMar>
              <w:top w:w="80" w:type="dxa"/>
              <w:bottom w:w="80" w:type="dxa"/>
              <w:left w:w="120" w:type="dxa"/>
              <w:right w:w="120" w:type="dxa"/>
            </w:tcMar>
          </w:tcPr>
          <w:p>
            <w:pPr>
              <w:jc w:val="center"/>
            </w:pPr>
            <w:r>
              <w:rPr>
                <w:sz w:val="18"/>
              </w:rPr>
              <w:t>6.5</w:t>
            </w:r>
          </w:p>
        </w:tc>
        <w:tc>
          <w:tcPr>
            <w:tcW w:type="dxa" w:w="3168"/>
            <w:tcMar>
              <w:top w:w="80" w:type="dxa"/>
              <w:bottom w:w="80" w:type="dxa"/>
              <w:left w:w="120" w:type="dxa"/>
              <w:right w:w="120" w:type="dxa"/>
            </w:tcMar>
          </w:tcPr>
          <w:p>
            <w:pPr>
              <w:jc w:val="left"/>
            </w:pPr>
            <w:r>
              <w:rPr>
                <w:sz w:val="18"/>
              </w:rPr>
              <w:t>Session Memory Queue</w:t>
            </w:r>
          </w:p>
        </w:tc>
        <w:tc>
          <w:tcPr>
            <w:tcW w:type="dxa" w:w="4896"/>
            <w:tcMar>
              <w:top w:w="80" w:type="dxa"/>
              <w:bottom w:w="80" w:type="dxa"/>
              <w:left w:w="120" w:type="dxa"/>
              <w:right w:w="120" w:type="dxa"/>
            </w:tcMar>
          </w:tcPr>
          <w:p>
            <w:pPr>
              <w:jc w:val="left"/>
            </w:pPr>
            <w:r>
              <w:rPr>
                <w:sz w:val="18"/>
              </w:rPr>
              <w:t>Discourse tracking and conversational context preservation across consecutive question turns.</w:t>
            </w:r>
          </w:p>
        </w:tc>
      </w:tr>
      <w:tr>
        <w:tc>
          <w:tcPr>
            <w:tcW w:type="dxa" w:w="1296"/>
            <w:tcMar>
              <w:top w:w="80" w:type="dxa"/>
              <w:bottom w:w="80" w:type="dxa"/>
              <w:left w:w="120" w:type="dxa"/>
              <w:right w:w="120" w:type="dxa"/>
            </w:tcMar>
            <w:shd w:val="clear" w:color="auto" w:fill="F7FAFC"/>
          </w:tcPr>
          <w:p>
            <w:pPr>
              <w:jc w:val="center"/>
            </w:pPr>
            <w:r>
              <w:rPr>
                <w:sz w:val="18"/>
              </w:rPr>
              <w:t>6.6</w:t>
            </w:r>
          </w:p>
        </w:tc>
        <w:tc>
          <w:tcPr>
            <w:tcW w:type="dxa" w:w="3168"/>
            <w:tcMar>
              <w:top w:w="80" w:type="dxa"/>
              <w:bottom w:w="80" w:type="dxa"/>
              <w:left w:w="120" w:type="dxa"/>
              <w:right w:w="120" w:type="dxa"/>
            </w:tcMar>
            <w:shd w:val="clear" w:color="auto" w:fill="F7FAFC"/>
          </w:tcPr>
          <w:p>
            <w:pPr>
              <w:jc w:val="left"/>
            </w:pPr>
            <w:r>
              <w:rPr>
                <w:sz w:val="18"/>
              </w:rPr>
              <w:t>Flask &amp; Gunicorn WSGI Server</w:t>
            </w:r>
          </w:p>
        </w:tc>
        <w:tc>
          <w:tcPr>
            <w:tcW w:type="dxa" w:w="4896"/>
            <w:tcMar>
              <w:top w:w="80" w:type="dxa"/>
              <w:bottom w:w="80" w:type="dxa"/>
              <w:left w:w="120" w:type="dxa"/>
              <w:right w:w="120" w:type="dxa"/>
            </w:tcMar>
            <w:shd w:val="clear" w:color="auto" w:fill="F7FAFC"/>
          </w:tcPr>
          <w:p>
            <w:pPr>
              <w:jc w:val="left"/>
            </w:pPr>
            <w:r>
              <w:rPr>
                <w:sz w:val="18"/>
              </w:rPr>
              <w:t>High-concurrency production web serving with asynchronous request handling.</w:t>
            </w:r>
          </w:p>
        </w:tc>
      </w:tr>
      <w:tr>
        <w:tc>
          <w:tcPr>
            <w:tcW w:type="dxa" w:w="1296"/>
            <w:tcMar>
              <w:top w:w="80" w:type="dxa"/>
              <w:bottom w:w="80" w:type="dxa"/>
              <w:left w:w="120" w:type="dxa"/>
              <w:right w:w="120" w:type="dxa"/>
            </w:tcMar>
          </w:tcPr>
          <w:p>
            <w:pPr>
              <w:jc w:val="center"/>
            </w:pPr>
            <w:r>
              <w:rPr>
                <w:sz w:val="18"/>
              </w:rPr>
              <w:t>6.7</w:t>
            </w:r>
          </w:p>
        </w:tc>
        <w:tc>
          <w:tcPr>
            <w:tcW w:type="dxa" w:w="3168"/>
            <w:tcMar>
              <w:top w:w="80" w:type="dxa"/>
              <w:bottom w:w="80" w:type="dxa"/>
              <w:left w:w="120" w:type="dxa"/>
              <w:right w:w="120" w:type="dxa"/>
            </w:tcMar>
          </w:tcPr>
          <w:p>
            <w:pPr>
              <w:jc w:val="left"/>
            </w:pPr>
            <w:r>
              <w:rPr>
                <w:sz w:val="18"/>
              </w:rPr>
              <w:t>Dynamic Source Linker</w:t>
            </w:r>
          </w:p>
        </w:tc>
        <w:tc>
          <w:tcPr>
            <w:tcW w:type="dxa" w:w="4896"/>
            <w:tcMar>
              <w:top w:w="80" w:type="dxa"/>
              <w:bottom w:w="80" w:type="dxa"/>
              <w:left w:w="120" w:type="dxa"/>
              <w:right w:w="120" w:type="dxa"/>
            </w:tcMar>
          </w:tcPr>
          <w:p>
            <w:pPr>
              <w:jc w:val="left"/>
            </w:pPr>
            <w:r>
              <w:rPr>
                <w:sz w:val="18"/>
              </w:rPr>
              <w:t>Automated citation of official SBJITMR portal links on every response.</w:t>
            </w:r>
          </w:p>
        </w:tc>
      </w:tr>
      <w:tr>
        <w:tc>
          <w:tcPr>
            <w:tcW w:type="dxa" w:w="1296"/>
            <w:tcMar>
              <w:top w:w="80" w:type="dxa"/>
              <w:bottom w:w="80" w:type="dxa"/>
              <w:left w:w="120" w:type="dxa"/>
              <w:right w:w="120" w:type="dxa"/>
            </w:tcMar>
            <w:shd w:val="clear" w:color="auto" w:fill="F7FAFC"/>
          </w:tcPr>
          <w:p>
            <w:pPr>
              <w:jc w:val="center"/>
            </w:pPr>
            <w:r>
              <w:rPr>
                <w:sz w:val="18"/>
              </w:rPr>
              <w:t>6.8</w:t>
            </w:r>
          </w:p>
        </w:tc>
        <w:tc>
          <w:tcPr>
            <w:tcW w:type="dxa" w:w="3168"/>
            <w:tcMar>
              <w:top w:w="80" w:type="dxa"/>
              <w:bottom w:w="80" w:type="dxa"/>
              <w:left w:w="120" w:type="dxa"/>
              <w:right w:w="120" w:type="dxa"/>
            </w:tcMar>
            <w:shd w:val="clear" w:color="auto" w:fill="F7FAFC"/>
          </w:tcPr>
          <w:p>
            <w:pPr>
              <w:jc w:val="left"/>
            </w:pPr>
            <w:r>
              <w:rPr>
                <w:sz w:val="18"/>
              </w:rPr>
              <w:t>Accessible Web UI</w:t>
            </w:r>
          </w:p>
        </w:tc>
        <w:tc>
          <w:tcPr>
            <w:tcW w:type="dxa" w:w="4896"/>
            <w:tcMar>
              <w:top w:w="80" w:type="dxa"/>
              <w:bottom w:w="80" w:type="dxa"/>
              <w:left w:w="120" w:type="dxa"/>
              <w:right w:w="120" w:type="dxa"/>
            </w:tcMar>
            <w:shd w:val="clear" w:color="auto" w:fill="F7FAFC"/>
          </w:tcPr>
          <w:p>
            <w:pPr>
              <w:jc w:val="left"/>
            </w:pPr>
            <w:r>
              <w:rPr>
                <w:sz w:val="18"/>
              </w:rPr>
              <w:t>Glassmorphism design, instant question chips, responsive layout across mobile and desktop devices.</w:t>
            </w:r>
          </w:p>
        </w:tc>
      </w:tr>
    </w:tbl>
    <w:p>
      <w:pPr>
        <w:keepNext/>
        <w:spacing w:before="280" w:after="80"/>
      </w:pPr>
      <w:r>
        <w:rPr>
          <w:rFonts w:ascii="Arial" w:hAnsi="Arial"/>
          <w:b/>
          <w:color w:val="1A365D"/>
          <w:sz w:val="26"/>
        </w:rPr>
        <w:t>7. Methodology / Design Flow:</w:t>
      </w:r>
    </w:p>
    <w:p>
      <w:pPr>
        <w:spacing w:before="40" w:after="80" w:line="276" w:lineRule="auto"/>
      </w:pPr>
      <w:r>
        <w:rPr>
          <w:rFonts w:ascii="Arial" w:hAnsi="Arial"/>
          <w:color w:val="2D3748"/>
          <w:sz w:val="21"/>
        </w:rPr>
        <w:t>The system operates according to a high-performance, modular pipeline that guarantees fast retrieval, high factual precision, and graceful fallback:</w:t>
      </w:r>
    </w:p>
    <w:p>
      <w:pPr>
        <w:spacing w:before="40" w:after="80" w:line="276" w:lineRule="auto"/>
      </w:pPr>
      <w:r>
        <w:rPr>
          <w:rFonts w:ascii="Arial" w:hAnsi="Arial"/>
          <w:b/>
          <w:color w:val="2D3748"/>
          <w:sz w:val="21"/>
        </w:rPr>
        <w:t xml:space="preserve">7.1 User Input Stage: </w:t>
      </w:r>
      <w:r>
        <w:rPr>
          <w:rFonts w:ascii="Arial" w:hAnsi="Arial"/>
          <w:color w:val="2D3748"/>
          <w:sz w:val="21"/>
        </w:rPr>
        <w:t>User submits an inquiry via the chat interface (POST /api/chat). The backend sanitizes whitespace, lowercases the text, and strips disruptive punctuation.</w:t>
      </w:r>
    </w:p>
    <w:p>
      <w:pPr>
        <w:spacing w:before="40" w:after="80" w:line="276" w:lineRule="auto"/>
      </w:pPr>
      <w:r>
        <w:rPr>
          <w:rFonts w:ascii="Arial" w:hAnsi="Arial"/>
          <w:b/>
          <w:color w:val="2D3748"/>
          <w:sz w:val="21"/>
        </w:rPr>
        <w:t xml:space="preserve">7.2 Fast-Path Q&amp;A Evaluation: </w:t>
      </w:r>
      <w:r>
        <w:rPr>
          <w:rFonts w:ascii="Arial" w:hAnsi="Arial"/>
          <w:color w:val="2D3748"/>
          <w:sz w:val="21"/>
        </w:rPr>
        <w:t>The query is compared against indexed question variations in qa_pairs.json using token overlap scoring. High-scoring matches immediately return pre-verified answers in &lt;1ms.</w:t>
      </w:r>
    </w:p>
    <w:p>
      <w:pPr>
        <w:spacing w:before="40" w:after="80" w:line="276" w:lineRule="auto"/>
      </w:pPr>
      <w:r>
        <w:rPr>
          <w:rFonts w:ascii="Arial" w:hAnsi="Arial"/>
          <w:b/>
          <w:color w:val="2D3748"/>
          <w:sz w:val="21"/>
        </w:rPr>
        <w:t xml:space="preserve">7.3 Entity &amp; Domain Routing: </w:t>
      </w:r>
      <w:r>
        <w:rPr>
          <w:rFonts w:ascii="Arial" w:hAnsi="Arial"/>
          <w:color w:val="2D3748"/>
          <w:sz w:val="21"/>
        </w:rPr>
        <w:t>Dedicated routing algorithms check for specific entity requests across 17 data categories: Deans, Intake, HODs, Direct Second Year (DSY), Exam Results, Fees, Transportation, and Committees.</w:t>
      </w:r>
    </w:p>
    <w:p>
      <w:pPr>
        <w:spacing w:before="40" w:after="80" w:line="276" w:lineRule="auto"/>
      </w:pPr>
      <w:r>
        <w:rPr>
          <w:rFonts w:ascii="Arial" w:hAnsi="Arial"/>
          <w:b/>
          <w:color w:val="2D3748"/>
          <w:sz w:val="21"/>
        </w:rPr>
        <w:t xml:space="preserve">7.4 Context Digest Assembly: </w:t>
      </w:r>
      <w:r>
        <w:rPr>
          <w:rFonts w:ascii="Arial" w:hAnsi="Arial"/>
          <w:color w:val="2D3748"/>
          <w:sz w:val="21"/>
        </w:rPr>
        <w:t>If unhandled locally, an LLM system prompt is constructed containing the full institutional context digest (DTE code 4197, autonomous RTMNU affiliation, 14-acre campus, deans, fee tiers).</w:t>
      </w:r>
    </w:p>
    <w:p>
      <w:pPr>
        <w:spacing w:before="40" w:after="80" w:line="276" w:lineRule="auto"/>
      </w:pPr>
      <w:r>
        <w:rPr>
          <w:rFonts w:ascii="Arial" w:hAnsi="Arial"/>
          <w:b/>
          <w:color w:val="2D3748"/>
          <w:sz w:val="21"/>
        </w:rPr>
        <w:t xml:space="preserve">7.5 LLM Generative Inference: </w:t>
      </w:r>
      <w:r>
        <w:rPr>
          <w:rFonts w:ascii="Arial" w:hAnsi="Arial"/>
          <w:color w:val="2D3748"/>
          <w:sz w:val="21"/>
        </w:rPr>
        <w:t>The grounded prompt is transmitted to the Google Gemini Flash model via the google-genai SDK, which synthesizes a natural-language response strictly adhering to the institutional facts.</w:t>
      </w:r>
    </w:p>
    <w:p>
      <w:pPr>
        <w:spacing w:before="40" w:after="80" w:line="276" w:lineRule="auto"/>
      </w:pPr>
      <w:r>
        <w:rPr>
          <w:rFonts w:ascii="Arial" w:hAnsi="Arial"/>
          <w:b/>
          <w:color w:val="2D3748"/>
          <w:sz w:val="21"/>
        </w:rPr>
        <w:t xml:space="preserve">7.6 Fallback Guardrail: </w:t>
      </w:r>
      <w:r>
        <w:rPr>
          <w:rFonts w:ascii="Arial" w:hAnsi="Arial"/>
          <w:color w:val="2D3748"/>
          <w:sz w:val="21"/>
        </w:rPr>
        <w:t>If external network access fails or API quotas are exceeded, the system falls back to a curated offline help directory and official contact numbers.</w:t>
      </w:r>
    </w:p>
    <w:p>
      <w:pPr>
        <w:spacing w:before="40" w:after="80" w:line="276" w:lineRule="auto"/>
      </w:pPr>
      <w:r>
        <w:rPr>
          <w:rFonts w:ascii="Arial" w:hAnsi="Arial"/>
          <w:b/>
          <w:color w:val="2D3748"/>
          <w:sz w:val="21"/>
        </w:rPr>
        <w:t xml:space="preserve">7.7 Response Parsing &amp; Source Verification: </w:t>
      </w:r>
      <w:r>
        <w:rPr>
          <w:rFonts w:ascii="Arial" w:hAnsi="Arial"/>
          <w:color w:val="2D3748"/>
          <w:sz w:val="21"/>
        </w:rPr>
        <w:t>The raw output is parsed, formatted with markdown hierarchies, and injected with verified hyperlinks pointing to official SBJITMR portal pages.</w:t>
      </w:r>
    </w:p>
    <w:p>
      <w:pPr>
        <w:spacing w:before="40" w:after="80" w:line="276" w:lineRule="auto"/>
      </w:pPr>
      <w:r>
        <w:rPr>
          <w:rFonts w:ascii="Arial" w:hAnsi="Arial"/>
          <w:b/>
          <w:color w:val="2D3748"/>
          <w:sz w:val="21"/>
        </w:rPr>
        <w:t xml:space="preserve">7.8 Dynamic UI Rendering &amp; Session Update: </w:t>
      </w:r>
      <w:r>
        <w:rPr>
          <w:rFonts w:ascii="Arial" w:hAnsi="Arial"/>
          <w:color w:val="2D3748"/>
          <w:sz w:val="21"/>
        </w:rPr>
        <w:t>The client renders the markdown message, displays source badges, and updates session history for follow-ups.</w:t>
      </w:r>
    </w:p>
    <w:p>
      <w:r>
        <w:br w:type="page"/>
      </w:r>
    </w:p>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keepNext/>
        <w:spacing w:before="280" w:after="80"/>
      </w:pPr>
      <w:r>
        <w:rPr>
          <w:rFonts w:ascii="Arial" w:hAnsi="Arial"/>
          <w:b/>
          <w:color w:val="1A365D"/>
          <w:sz w:val="26"/>
        </w:rPr>
        <w:t>8. Implementation / Prototype:</w:t>
      </w:r>
    </w:p>
    <w:p>
      <w:pPr>
        <w:keepNext/>
        <w:spacing w:before="200" w:after="60"/>
      </w:pPr>
      <w:r>
        <w:rPr>
          <w:rFonts w:ascii="Arial" w:hAnsi="Arial"/>
          <w:b/>
          <w:color w:val="2C5282"/>
          <w:sz w:val="23"/>
        </w:rPr>
        <w:t>8.1 Development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A365D"/>
            <w:tcMar>
              <w:top w:w="100" w:type="dxa"/>
              <w:bottom w:w="100" w:type="dxa"/>
              <w:left w:w="120" w:type="dxa"/>
              <w:right w:w="120" w:type="dxa"/>
            </w:tcMar>
          </w:tcPr>
          <w:p>
            <w:r>
              <w:rPr>
                <w:b/>
                <w:color w:val="FFFFFF"/>
                <w:sz w:val="19"/>
              </w:rPr>
              <w:t>Component</w:t>
            </w:r>
          </w:p>
        </w:tc>
        <w:tc>
          <w:tcPr>
            <w:tcW w:type="dxa" w:w="3168"/>
            <w:shd w:val="clear" w:color="auto" w:fill="1A365D"/>
            <w:tcMar>
              <w:top w:w="100" w:type="dxa"/>
              <w:bottom w:w="100" w:type="dxa"/>
              <w:left w:w="120" w:type="dxa"/>
              <w:right w:w="120" w:type="dxa"/>
            </w:tcMar>
          </w:tcPr>
          <w:p>
            <w:r>
              <w:rPr>
                <w:b/>
                <w:color w:val="FFFFFF"/>
                <w:sz w:val="19"/>
              </w:rPr>
              <w:t>Technology Used</w:t>
            </w:r>
          </w:p>
        </w:tc>
        <w:tc>
          <w:tcPr>
            <w:tcW w:type="dxa" w:w="3600"/>
            <w:shd w:val="clear" w:color="auto" w:fill="1A365D"/>
            <w:tcMar>
              <w:top w:w="100" w:type="dxa"/>
              <w:bottom w:w="100" w:type="dxa"/>
              <w:left w:w="120" w:type="dxa"/>
              <w:right w:w="120" w:type="dxa"/>
            </w:tcMar>
          </w:tcPr>
          <w:p>
            <w:r>
              <w:rPr>
                <w:b/>
                <w:color w:val="FFFFFF"/>
                <w:sz w:val="19"/>
              </w:rPr>
              <w:t>Version / Specification</w:t>
            </w:r>
          </w:p>
        </w:tc>
      </w:tr>
      <w:tr>
        <w:tc>
          <w:tcPr>
            <w:tcW w:type="dxa" w:w="2592"/>
            <w:tcMar>
              <w:top w:w="80" w:type="dxa"/>
              <w:bottom w:w="80" w:type="dxa"/>
              <w:left w:w="120" w:type="dxa"/>
              <w:right w:w="120" w:type="dxa"/>
            </w:tcMar>
          </w:tcPr>
          <w:p>
            <w:r>
              <w:rPr>
                <w:sz w:val="18"/>
              </w:rPr>
              <w:t>Backend Runtime</w:t>
            </w:r>
          </w:p>
        </w:tc>
        <w:tc>
          <w:tcPr>
            <w:tcW w:type="dxa" w:w="3168"/>
            <w:tcMar>
              <w:top w:w="80" w:type="dxa"/>
              <w:bottom w:w="80" w:type="dxa"/>
              <w:left w:w="120" w:type="dxa"/>
              <w:right w:w="120" w:type="dxa"/>
            </w:tcMar>
          </w:tcPr>
          <w:p>
            <w:r>
              <w:rPr>
                <w:sz w:val="18"/>
              </w:rPr>
              <w:t>Python</w:t>
            </w:r>
          </w:p>
        </w:tc>
        <w:tc>
          <w:tcPr>
            <w:tcW w:type="dxa" w:w="3600"/>
            <w:tcMar>
              <w:top w:w="80" w:type="dxa"/>
              <w:bottom w:w="80" w:type="dxa"/>
              <w:left w:w="120" w:type="dxa"/>
              <w:right w:w="120" w:type="dxa"/>
            </w:tcMar>
          </w:tcPr>
          <w:p>
            <w:r>
              <w:rPr>
                <w:sz w:val="18"/>
              </w:rPr>
              <w:t>3.10+ / 3.11</w:t>
            </w:r>
          </w:p>
        </w:tc>
      </w:tr>
      <w:tr>
        <w:tc>
          <w:tcPr>
            <w:tcW w:type="dxa" w:w="2592"/>
            <w:tcMar>
              <w:top w:w="80" w:type="dxa"/>
              <w:bottom w:w="80" w:type="dxa"/>
              <w:left w:w="120" w:type="dxa"/>
              <w:right w:w="120" w:type="dxa"/>
            </w:tcMar>
            <w:shd w:val="clear" w:color="auto" w:fill="F7FAFC"/>
          </w:tcPr>
          <w:p>
            <w:r>
              <w:rPr>
                <w:sz w:val="18"/>
              </w:rPr>
              <w:t>Web Server Framework</w:t>
            </w:r>
          </w:p>
        </w:tc>
        <w:tc>
          <w:tcPr>
            <w:tcW w:type="dxa" w:w="3168"/>
            <w:tcMar>
              <w:top w:w="80" w:type="dxa"/>
              <w:bottom w:w="80" w:type="dxa"/>
              <w:left w:w="120" w:type="dxa"/>
              <w:right w:w="120" w:type="dxa"/>
            </w:tcMar>
            <w:shd w:val="clear" w:color="auto" w:fill="F7FAFC"/>
          </w:tcPr>
          <w:p>
            <w:r>
              <w:rPr>
                <w:sz w:val="18"/>
              </w:rPr>
              <w:t>Flask</w:t>
            </w:r>
          </w:p>
        </w:tc>
        <w:tc>
          <w:tcPr>
            <w:tcW w:type="dxa" w:w="3600"/>
            <w:tcMar>
              <w:top w:w="80" w:type="dxa"/>
              <w:bottom w:w="80" w:type="dxa"/>
              <w:left w:w="120" w:type="dxa"/>
              <w:right w:w="120" w:type="dxa"/>
            </w:tcMar>
            <w:shd w:val="clear" w:color="auto" w:fill="F7FAFC"/>
          </w:tcPr>
          <w:p>
            <w:r>
              <w:rPr>
                <w:sz w:val="18"/>
              </w:rPr>
              <w:t>3.0.3</w:t>
            </w:r>
          </w:p>
        </w:tc>
      </w:tr>
      <w:tr>
        <w:tc>
          <w:tcPr>
            <w:tcW w:type="dxa" w:w="2592"/>
            <w:tcMar>
              <w:top w:w="80" w:type="dxa"/>
              <w:bottom w:w="80" w:type="dxa"/>
              <w:left w:w="120" w:type="dxa"/>
              <w:right w:w="120" w:type="dxa"/>
            </w:tcMar>
          </w:tcPr>
          <w:p>
            <w:r>
              <w:rPr>
                <w:sz w:val="18"/>
              </w:rPr>
              <w:t>Production WSGI Server</w:t>
            </w:r>
          </w:p>
        </w:tc>
        <w:tc>
          <w:tcPr>
            <w:tcW w:type="dxa" w:w="3168"/>
            <w:tcMar>
              <w:top w:w="80" w:type="dxa"/>
              <w:bottom w:w="80" w:type="dxa"/>
              <w:left w:w="120" w:type="dxa"/>
              <w:right w:w="120" w:type="dxa"/>
            </w:tcMar>
          </w:tcPr>
          <w:p>
            <w:r>
              <w:rPr>
                <w:sz w:val="18"/>
              </w:rPr>
              <w:t>Gunicorn</w:t>
            </w:r>
          </w:p>
        </w:tc>
        <w:tc>
          <w:tcPr>
            <w:tcW w:type="dxa" w:w="3600"/>
            <w:tcMar>
              <w:top w:w="80" w:type="dxa"/>
              <w:bottom w:w="80" w:type="dxa"/>
              <w:left w:w="120" w:type="dxa"/>
              <w:right w:w="120" w:type="dxa"/>
            </w:tcMar>
          </w:tcPr>
          <w:p>
            <w:r>
              <w:rPr>
                <w:sz w:val="18"/>
              </w:rPr>
              <w:t>21.2.0+</w:t>
            </w:r>
          </w:p>
        </w:tc>
      </w:tr>
      <w:tr>
        <w:tc>
          <w:tcPr>
            <w:tcW w:type="dxa" w:w="2592"/>
            <w:tcMar>
              <w:top w:w="80" w:type="dxa"/>
              <w:bottom w:w="80" w:type="dxa"/>
              <w:left w:w="120" w:type="dxa"/>
              <w:right w:w="120" w:type="dxa"/>
            </w:tcMar>
            <w:shd w:val="clear" w:color="auto" w:fill="F7FAFC"/>
          </w:tcPr>
          <w:p>
            <w:r>
              <w:rPr>
                <w:sz w:val="18"/>
              </w:rPr>
              <w:t>AI / LLM SDK</w:t>
            </w:r>
          </w:p>
        </w:tc>
        <w:tc>
          <w:tcPr>
            <w:tcW w:type="dxa" w:w="3168"/>
            <w:tcMar>
              <w:top w:w="80" w:type="dxa"/>
              <w:bottom w:w="80" w:type="dxa"/>
              <w:left w:w="120" w:type="dxa"/>
              <w:right w:w="120" w:type="dxa"/>
            </w:tcMar>
            <w:shd w:val="clear" w:color="auto" w:fill="F7FAFC"/>
          </w:tcPr>
          <w:p>
            <w:r>
              <w:rPr>
                <w:sz w:val="18"/>
              </w:rPr>
              <w:t>Google GenAI SDK (google-genai)</w:t>
            </w:r>
          </w:p>
        </w:tc>
        <w:tc>
          <w:tcPr>
            <w:tcW w:type="dxa" w:w="3600"/>
            <w:tcMar>
              <w:top w:w="80" w:type="dxa"/>
              <w:bottom w:w="80" w:type="dxa"/>
              <w:left w:w="120" w:type="dxa"/>
              <w:right w:w="120" w:type="dxa"/>
            </w:tcMar>
            <w:shd w:val="clear" w:color="auto" w:fill="F7FAFC"/>
          </w:tcPr>
          <w:p>
            <w:r>
              <w:rPr>
                <w:sz w:val="18"/>
              </w:rPr>
              <w:t>Gemini Flash</w:t>
            </w:r>
          </w:p>
        </w:tc>
      </w:tr>
      <w:tr>
        <w:tc>
          <w:tcPr>
            <w:tcW w:type="dxa" w:w="2592"/>
            <w:tcMar>
              <w:top w:w="80" w:type="dxa"/>
              <w:bottom w:w="80" w:type="dxa"/>
              <w:left w:w="120" w:type="dxa"/>
              <w:right w:w="120" w:type="dxa"/>
            </w:tcMar>
          </w:tcPr>
          <w:p>
            <w:r>
              <w:rPr>
                <w:sz w:val="18"/>
              </w:rPr>
              <w:t>Environment Config</w:t>
            </w:r>
          </w:p>
        </w:tc>
        <w:tc>
          <w:tcPr>
            <w:tcW w:type="dxa" w:w="3168"/>
            <w:tcMar>
              <w:top w:w="80" w:type="dxa"/>
              <w:bottom w:w="80" w:type="dxa"/>
              <w:left w:w="120" w:type="dxa"/>
              <w:right w:w="120" w:type="dxa"/>
            </w:tcMar>
          </w:tcPr>
          <w:p>
            <w:r>
              <w:rPr>
                <w:sz w:val="18"/>
              </w:rPr>
              <w:t>python-dotenv</w:t>
            </w:r>
          </w:p>
        </w:tc>
        <w:tc>
          <w:tcPr>
            <w:tcW w:type="dxa" w:w="3600"/>
            <w:tcMar>
              <w:top w:w="80" w:type="dxa"/>
              <w:bottom w:w="80" w:type="dxa"/>
              <w:left w:w="120" w:type="dxa"/>
              <w:right w:w="120" w:type="dxa"/>
            </w:tcMar>
          </w:tcPr>
          <w:p>
            <w:r>
              <w:rPr>
                <w:sz w:val="18"/>
              </w:rPr>
              <w:t>1.0.1</w:t>
            </w:r>
          </w:p>
        </w:tc>
      </w:tr>
      <w:tr>
        <w:tc>
          <w:tcPr>
            <w:tcW w:type="dxa" w:w="2592"/>
            <w:tcMar>
              <w:top w:w="80" w:type="dxa"/>
              <w:bottom w:w="80" w:type="dxa"/>
              <w:left w:w="120" w:type="dxa"/>
              <w:right w:w="120" w:type="dxa"/>
            </w:tcMar>
            <w:shd w:val="clear" w:color="auto" w:fill="F7FAFC"/>
          </w:tcPr>
          <w:p>
            <w:r>
              <w:rPr>
                <w:sz w:val="18"/>
              </w:rPr>
              <w:t>Frontend UI</w:t>
            </w:r>
          </w:p>
        </w:tc>
        <w:tc>
          <w:tcPr>
            <w:tcW w:type="dxa" w:w="3168"/>
            <w:tcMar>
              <w:top w:w="80" w:type="dxa"/>
              <w:bottom w:w="80" w:type="dxa"/>
              <w:left w:w="120" w:type="dxa"/>
              <w:right w:w="120" w:type="dxa"/>
            </w:tcMar>
            <w:shd w:val="clear" w:color="auto" w:fill="F7FAFC"/>
          </w:tcPr>
          <w:p>
            <w:r>
              <w:rPr>
                <w:sz w:val="18"/>
              </w:rPr>
              <w:t>HTML5, CSS3 Glassmorphism, ES6 JS</w:t>
            </w:r>
          </w:p>
        </w:tc>
        <w:tc>
          <w:tcPr>
            <w:tcW w:type="dxa" w:w="3600"/>
            <w:tcMar>
              <w:top w:w="80" w:type="dxa"/>
              <w:bottom w:w="80" w:type="dxa"/>
              <w:left w:w="120" w:type="dxa"/>
              <w:right w:w="120" w:type="dxa"/>
            </w:tcMar>
            <w:shd w:val="clear" w:color="auto" w:fill="F7FAFC"/>
          </w:tcPr>
          <w:p>
            <w:r>
              <w:rPr>
                <w:sz w:val="18"/>
              </w:rPr>
              <w:t>Responsive, Mobile-friendly</w:t>
            </w:r>
          </w:p>
        </w:tc>
      </w:tr>
      <w:tr>
        <w:tc>
          <w:tcPr>
            <w:tcW w:type="dxa" w:w="2592"/>
            <w:tcMar>
              <w:top w:w="80" w:type="dxa"/>
              <w:bottom w:w="80" w:type="dxa"/>
              <w:left w:w="120" w:type="dxa"/>
              <w:right w:w="120" w:type="dxa"/>
            </w:tcMar>
          </w:tcPr>
          <w:p>
            <w:r>
              <w:rPr>
                <w:sz w:val="18"/>
              </w:rPr>
              <w:t>Testing Framework</w:t>
            </w:r>
          </w:p>
        </w:tc>
        <w:tc>
          <w:tcPr>
            <w:tcW w:type="dxa" w:w="3168"/>
            <w:tcMar>
              <w:top w:w="80" w:type="dxa"/>
              <w:bottom w:w="80" w:type="dxa"/>
              <w:left w:w="120" w:type="dxa"/>
              <w:right w:w="120" w:type="dxa"/>
            </w:tcMar>
          </w:tcPr>
          <w:p>
            <w:r>
              <w:rPr>
                <w:sz w:val="18"/>
              </w:rPr>
              <w:t>Python unittest</w:t>
            </w:r>
          </w:p>
        </w:tc>
        <w:tc>
          <w:tcPr>
            <w:tcW w:type="dxa" w:w="3600"/>
            <w:tcMar>
              <w:top w:w="80" w:type="dxa"/>
              <w:bottom w:w="80" w:type="dxa"/>
              <w:left w:w="120" w:type="dxa"/>
              <w:right w:w="120" w:type="dxa"/>
            </w:tcMar>
          </w:tcPr>
          <w:p>
            <w:r>
              <w:rPr>
                <w:sz w:val="18"/>
              </w:rPr>
              <w:t>49 Automated Test Cases</w:t>
            </w:r>
          </w:p>
        </w:tc>
      </w:tr>
      <w:tr>
        <w:tc>
          <w:tcPr>
            <w:tcW w:type="dxa" w:w="2592"/>
            <w:tcMar>
              <w:top w:w="80" w:type="dxa"/>
              <w:bottom w:w="80" w:type="dxa"/>
              <w:left w:w="120" w:type="dxa"/>
              <w:right w:w="120" w:type="dxa"/>
            </w:tcMar>
            <w:shd w:val="clear" w:color="auto" w:fill="F7FAFC"/>
          </w:tcPr>
          <w:p>
            <w:r>
              <w:rPr>
                <w:sz w:val="18"/>
              </w:rPr>
              <w:t>Hosting &amp; CI/CD</w:t>
            </w:r>
          </w:p>
        </w:tc>
        <w:tc>
          <w:tcPr>
            <w:tcW w:type="dxa" w:w="3168"/>
            <w:tcMar>
              <w:top w:w="80" w:type="dxa"/>
              <w:bottom w:w="80" w:type="dxa"/>
              <w:left w:w="120" w:type="dxa"/>
              <w:right w:w="120" w:type="dxa"/>
            </w:tcMar>
            <w:shd w:val="clear" w:color="auto" w:fill="F7FAFC"/>
          </w:tcPr>
          <w:p>
            <w:r>
              <w:rPr>
                <w:sz w:val="18"/>
              </w:rPr>
              <w:t>Git, GitHub, Render PaaS</w:t>
            </w:r>
          </w:p>
        </w:tc>
        <w:tc>
          <w:tcPr>
            <w:tcW w:type="dxa" w:w="3600"/>
            <w:tcMar>
              <w:top w:w="80" w:type="dxa"/>
              <w:bottom w:w="80" w:type="dxa"/>
              <w:left w:w="120" w:type="dxa"/>
              <w:right w:w="120" w:type="dxa"/>
            </w:tcMar>
            <w:shd w:val="clear" w:color="auto" w:fill="F7FAFC"/>
          </w:tcPr>
          <w:p>
            <w:r>
              <w:rPr>
                <w:sz w:val="18"/>
              </w:rPr>
              <w:t>Automated Web Service</w:t>
            </w:r>
          </w:p>
        </w:tc>
      </w:tr>
    </w:tbl>
    <w:p>
      <w:pPr>
        <w:keepNext/>
        <w:spacing w:before="200" w:after="60"/>
      </w:pPr>
      <w:r>
        <w:rPr>
          <w:rFonts w:ascii="Arial" w:hAnsi="Arial"/>
          <w:b/>
          <w:color w:val="2C5282"/>
          <w:sz w:val="23"/>
        </w:rPr>
        <w:t>8.2 Backend Implementation:</w:t>
      </w:r>
    </w:p>
    <w:p>
      <w:pPr>
        <w:spacing w:before="40" w:after="80" w:line="276" w:lineRule="auto"/>
      </w:pPr>
      <w:r>
        <w:rPr>
          <w:rFonts w:ascii="Arial" w:hAnsi="Arial"/>
          <w:color w:val="2D3748"/>
          <w:sz w:val="21"/>
        </w:rPr>
        <w:t>The backend exposes two primary REST endpoints:</w:t>
      </w:r>
    </w:p>
    <w:p>
      <w:pPr>
        <w:pStyle w:val="ListBullet"/>
        <w:spacing w:before="20" w:after="60" w:line="276" w:lineRule="auto"/>
      </w:pPr>
      <w:r>
        <w:rPr>
          <w:rFonts w:ascii="Arial" w:hAnsi="Arial"/>
          <w:color w:val="2D3748"/>
          <w:sz w:val="21"/>
        </w:rPr>
        <w:t>POST /api/chat — Accepts a JSON payload containing the user's natural language question and session_id. It routes the inquiry through local KB matching first, calls the Gemini Flash generative engine if needed, and returns a verified JSON response containing the answer, source links, and active session ID.</w:t>
      </w:r>
    </w:p>
    <w:p>
      <w:pPr>
        <w:pStyle w:val="ListBullet"/>
        <w:spacing w:before="20" w:after="60" w:line="276" w:lineRule="auto"/>
      </w:pPr>
      <w:r>
        <w:rPr>
          <w:rFonts w:ascii="Arial" w:hAnsi="Arial"/>
          <w:color w:val="2D3748"/>
          <w:sz w:val="21"/>
        </w:rPr>
        <w:t>GET /api/health — Diagnostic endpoint returning system status, the count of active in-memory knowledge bases (17 JSON files), and the operational state of the Gemini API client.</w:t>
      </w:r>
    </w:p>
    <w:p>
      <w:pPr>
        <w:keepNext/>
        <w:spacing w:before="200" w:after="60"/>
      </w:pPr>
      <w:r>
        <w:rPr>
          <w:rFonts w:ascii="Arial" w:hAnsi="Arial"/>
          <w:b/>
          <w:color w:val="2C5282"/>
          <w:sz w:val="23"/>
        </w:rPr>
        <w:t>8.3 Frontend Implementation:</w:t>
      </w:r>
    </w:p>
    <w:p>
      <w:pPr>
        <w:pStyle w:val="ListBullet"/>
        <w:spacing w:before="20" w:after="60" w:line="276" w:lineRule="auto"/>
      </w:pPr>
      <w:r>
        <w:rPr>
          <w:rFonts w:ascii="Arial" w:hAnsi="Arial"/>
          <w:color w:val="2D3748"/>
          <w:sz w:val="21"/>
        </w:rPr>
        <w:t>Interactive Suggestion Chips: Quick-prompt chips allow users to test high-frequency queries ('Who is Dean?', 'B.Tech Eligibility', 'Direct Second Year', 'Fee Structure').</w:t>
      </w:r>
    </w:p>
    <w:p>
      <w:pPr>
        <w:pStyle w:val="ListBullet"/>
        <w:spacing w:before="20" w:after="60" w:line="276" w:lineRule="auto"/>
      </w:pPr>
      <w:r>
        <w:rPr>
          <w:rFonts w:ascii="Arial" w:hAnsi="Arial"/>
          <w:color w:val="2D3748"/>
          <w:sz w:val="21"/>
        </w:rPr>
        <w:t>Real-Time Visual Indicators: Displays dynamic typing animations while the AI synthesizes generative answers.</w:t>
      </w:r>
    </w:p>
    <w:p>
      <w:pPr>
        <w:pStyle w:val="ListBullet"/>
        <w:spacing w:before="20" w:after="60" w:line="276" w:lineRule="auto"/>
      </w:pPr>
      <w:r>
        <w:rPr>
          <w:rFonts w:ascii="Arial" w:hAnsi="Arial"/>
          <w:color w:val="2D3748"/>
          <w:sz w:val="21"/>
        </w:rPr>
        <w:t>Source Badges: Every answer is rendered with clickable citation tags directly linking to sbjit.edu.in.</w:t>
      </w:r>
    </w:p>
    <w:p>
      <w:pPr>
        <w:pStyle w:val="ListBullet"/>
        <w:spacing w:before="20" w:after="60" w:line="276" w:lineRule="auto"/>
      </w:pPr>
      <w:r>
        <w:rPr>
          <w:rFonts w:ascii="Arial" w:hAnsi="Arial"/>
          <w:color w:val="2D3748"/>
          <w:sz w:val="21"/>
        </w:rPr>
        <w:t>Copy Response: Integrated copy-to-clipboard functionality enables students to easily store detailed fee breakdowns or admission procedures.</w:t>
      </w:r>
    </w:p>
    <w:p>
      <w:pPr>
        <w:keepNext/>
        <w:spacing w:before="280" w:after="80"/>
      </w:pPr>
      <w:r>
        <w:rPr>
          <w:rFonts w:ascii="Arial" w:hAnsi="Arial"/>
          <w:b/>
          <w:color w:val="1A365D"/>
          <w:sz w:val="26"/>
        </w:rPr>
        <w:t>9. Evaluation:</w:t>
      </w:r>
    </w:p>
    <w:p>
      <w:pPr>
        <w:keepNext/>
        <w:spacing w:before="200" w:after="60"/>
      </w:pPr>
      <w:r>
        <w:rPr>
          <w:rFonts w:ascii="Arial" w:hAnsi="Arial"/>
          <w:b/>
          <w:color w:val="2C5282"/>
          <w:sz w:val="23"/>
        </w:rPr>
        <w:t>9.1 Evaluation Objectives:</w:t>
      </w:r>
    </w:p>
    <w:p>
      <w:pPr>
        <w:pStyle w:val="ListBullet"/>
        <w:spacing w:before="20" w:after="60" w:line="276" w:lineRule="auto"/>
      </w:pPr>
      <w:r>
        <w:rPr>
          <w:rFonts w:ascii="Arial" w:hAnsi="Arial"/>
          <w:color w:val="2D3748"/>
          <w:sz w:val="21"/>
        </w:rPr>
        <w:t>Factual Correctness: Verify that queries regarding college administration, intake numbers, accreditation, and fees return 100% verified institutional data.</w:t>
      </w:r>
    </w:p>
    <w:p>
      <w:pPr>
        <w:pStyle w:val="ListBullet"/>
        <w:spacing w:before="20" w:after="60" w:line="276" w:lineRule="auto"/>
      </w:pPr>
      <w:r>
        <w:rPr>
          <w:rFonts w:ascii="Arial" w:hAnsi="Arial"/>
          <w:color w:val="2D3748"/>
          <w:sz w:val="21"/>
        </w:rPr>
        <w:t>Anti-Hallucination Adherence: Confirm that out-of-scope or non-existent information is not fabricated, but instead transparently referred to official sources.</w:t>
      </w:r>
    </w:p>
    <w:p>
      <w:pPr>
        <w:pStyle w:val="ListBullet"/>
        <w:spacing w:before="20" w:after="60" w:line="276" w:lineRule="auto"/>
      </w:pPr>
      <w:r>
        <w:rPr>
          <w:rFonts w:ascii="Arial" w:hAnsi="Arial"/>
          <w:color w:val="2D3748"/>
          <w:sz w:val="21"/>
        </w:rPr>
        <w:t>Latency and Performance: Measure query turnaround times for local deterministic queries versus generative LLM fallback queries.</w:t>
      </w:r>
    </w:p>
    <w:p>
      <w:pPr>
        <w:pStyle w:val="ListBullet"/>
        <w:spacing w:before="20" w:after="60" w:line="276" w:lineRule="auto"/>
      </w:pPr>
      <w:r>
        <w:rPr>
          <w:rFonts w:ascii="Arial" w:hAnsi="Arial"/>
          <w:color w:val="2D3748"/>
          <w:sz w:val="21"/>
        </w:rPr>
        <w:t>Boundary Disambiguation: Ensure no keyword collision errors occur between closely sounding terms (e.g., 'admission' vs 'mission').</w:t>
      </w:r>
    </w:p>
    <w:p>
      <w:pPr>
        <w:keepNext/>
        <w:spacing w:before="200" w:after="60"/>
      </w:pPr>
      <w:r>
        <w:rPr>
          <w:rFonts w:ascii="Arial" w:hAnsi="Arial"/>
          <w:b/>
          <w:color w:val="2C5282"/>
          <w:sz w:val="23"/>
        </w:rPr>
        <w:t>9.2 Evaluation Criteria / Rubric: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A365D"/>
            <w:tcMar>
              <w:top w:w="100" w:type="dxa"/>
              <w:bottom w:w="100" w:type="dxa"/>
              <w:left w:w="120" w:type="dxa"/>
              <w:right w:w="120" w:type="dxa"/>
            </w:tcMar>
          </w:tcPr>
          <w:p>
            <w:r>
              <w:rPr>
                <w:b/>
                <w:color w:val="FFFFFF"/>
                <w:sz w:val="19"/>
              </w:rPr>
              <w:t>Criterion</w:t>
            </w:r>
          </w:p>
        </w:tc>
        <w:tc>
          <w:tcPr>
            <w:tcW w:type="dxa" w:w="3168"/>
            <w:shd w:val="clear" w:color="auto" w:fill="1A365D"/>
            <w:tcMar>
              <w:top w:w="100" w:type="dxa"/>
              <w:bottom w:w="100" w:type="dxa"/>
              <w:left w:w="120" w:type="dxa"/>
              <w:right w:w="120" w:type="dxa"/>
            </w:tcMar>
          </w:tcPr>
          <w:p>
            <w:r>
              <w:rPr>
                <w:b/>
                <w:color w:val="FFFFFF"/>
                <w:sz w:val="19"/>
              </w:rPr>
              <w:t>Description</w:t>
            </w:r>
          </w:p>
        </w:tc>
        <w:tc>
          <w:tcPr>
            <w:tcW w:type="dxa" w:w="2016"/>
            <w:shd w:val="clear" w:color="auto" w:fill="1A365D"/>
            <w:tcMar>
              <w:top w:w="100" w:type="dxa"/>
              <w:bottom w:w="100" w:type="dxa"/>
              <w:left w:w="120" w:type="dxa"/>
              <w:right w:w="120" w:type="dxa"/>
            </w:tcMar>
          </w:tcPr>
          <w:p>
            <w:r>
              <w:rPr>
                <w:b/>
                <w:color w:val="FFFFFF"/>
                <w:sz w:val="19"/>
              </w:rPr>
              <w:t>Target</w:t>
            </w:r>
          </w:p>
        </w:tc>
        <w:tc>
          <w:tcPr>
            <w:tcW w:type="dxa" w:w="2016"/>
            <w:shd w:val="clear" w:color="auto" w:fill="1A365D"/>
            <w:tcMar>
              <w:top w:w="100" w:type="dxa"/>
              <w:bottom w:w="100" w:type="dxa"/>
              <w:left w:w="120" w:type="dxa"/>
              <w:right w:w="120" w:type="dxa"/>
            </w:tcMar>
          </w:tcPr>
          <w:p>
            <w:r>
              <w:rPr>
                <w:b/>
                <w:color w:val="FFFFFF"/>
                <w:sz w:val="19"/>
              </w:rPr>
              <w:t>Observed Result</w:t>
            </w:r>
          </w:p>
        </w:tc>
      </w:tr>
      <w:tr>
        <w:tc>
          <w:tcPr>
            <w:tcW w:type="dxa" w:w="2160"/>
            <w:tcMar>
              <w:top w:w="80" w:type="dxa"/>
              <w:bottom w:w="80" w:type="dxa"/>
              <w:left w:w="120" w:type="dxa"/>
              <w:right w:w="120" w:type="dxa"/>
            </w:tcMar>
          </w:tcPr>
          <w:p>
            <w:r>
              <w:rPr>
                <w:sz w:val="18"/>
              </w:rPr>
              <w:t>Factual Accuracy</w:t>
            </w:r>
          </w:p>
        </w:tc>
        <w:tc>
          <w:tcPr>
            <w:tcW w:type="dxa" w:w="3168"/>
            <w:tcMar>
              <w:top w:w="80" w:type="dxa"/>
              <w:bottom w:w="80" w:type="dxa"/>
              <w:left w:w="120" w:type="dxa"/>
              <w:right w:w="120" w:type="dxa"/>
            </w:tcMar>
          </w:tcPr>
          <w:p>
            <w:r>
              <w:rPr>
                <w:sz w:val="18"/>
              </w:rPr>
              <w:t>Precision of intake, fees, HOD names, and Dean listings</w:t>
            </w:r>
          </w:p>
        </w:tc>
        <w:tc>
          <w:tcPr>
            <w:tcW w:type="dxa" w:w="2016"/>
            <w:tcMar>
              <w:top w:w="80" w:type="dxa"/>
              <w:bottom w:w="80" w:type="dxa"/>
              <w:left w:w="120" w:type="dxa"/>
              <w:right w:w="120" w:type="dxa"/>
            </w:tcMar>
          </w:tcPr>
          <w:p>
            <w:r>
              <w:rPr>
                <w:sz w:val="18"/>
              </w:rPr>
              <w:t>100% match with official disclosure</w:t>
            </w:r>
          </w:p>
        </w:tc>
        <w:tc>
          <w:tcPr>
            <w:tcW w:type="dxa" w:w="2016"/>
            <w:tcMar>
              <w:top w:w="80" w:type="dxa"/>
              <w:bottom w:w="80" w:type="dxa"/>
              <w:left w:w="120" w:type="dxa"/>
              <w:right w:w="120" w:type="dxa"/>
            </w:tcMar>
          </w:tcPr>
          <w:p>
            <w:r>
              <w:rPr>
                <w:sz w:val="18"/>
              </w:rPr>
              <w:t>100% Verified</w:t>
            </w:r>
          </w:p>
        </w:tc>
      </w:tr>
      <w:tr>
        <w:tc>
          <w:tcPr>
            <w:tcW w:type="dxa" w:w="2160"/>
            <w:tcMar>
              <w:top w:w="80" w:type="dxa"/>
              <w:bottom w:w="80" w:type="dxa"/>
              <w:left w:w="120" w:type="dxa"/>
              <w:right w:w="120" w:type="dxa"/>
            </w:tcMar>
            <w:shd w:val="clear" w:color="auto" w:fill="F7FAFC"/>
          </w:tcPr>
          <w:p>
            <w:r>
              <w:rPr>
                <w:sz w:val="18"/>
              </w:rPr>
              <w:t>Response Latency (Local KB)</w:t>
            </w:r>
          </w:p>
        </w:tc>
        <w:tc>
          <w:tcPr>
            <w:tcW w:type="dxa" w:w="3168"/>
            <w:tcMar>
              <w:top w:w="80" w:type="dxa"/>
              <w:bottom w:w="80" w:type="dxa"/>
              <w:left w:w="120" w:type="dxa"/>
              <w:right w:w="120" w:type="dxa"/>
            </w:tcMar>
            <w:shd w:val="clear" w:color="auto" w:fill="F7FAFC"/>
          </w:tcPr>
          <w:p>
            <w:r>
              <w:rPr>
                <w:sz w:val="18"/>
              </w:rPr>
              <w:t>Turnaround time for deterministic factual queries</w:t>
            </w:r>
          </w:p>
        </w:tc>
        <w:tc>
          <w:tcPr>
            <w:tcW w:type="dxa" w:w="2016"/>
            <w:tcMar>
              <w:top w:w="80" w:type="dxa"/>
              <w:bottom w:w="80" w:type="dxa"/>
              <w:left w:w="120" w:type="dxa"/>
              <w:right w:w="120" w:type="dxa"/>
            </w:tcMar>
            <w:shd w:val="clear" w:color="auto" w:fill="F7FAFC"/>
          </w:tcPr>
          <w:p>
            <w:r>
              <w:rPr>
                <w:sz w:val="18"/>
              </w:rPr>
              <w:t>&lt; 50 ms</w:t>
            </w:r>
          </w:p>
        </w:tc>
        <w:tc>
          <w:tcPr>
            <w:tcW w:type="dxa" w:w="2016"/>
            <w:tcMar>
              <w:top w:w="80" w:type="dxa"/>
              <w:bottom w:w="80" w:type="dxa"/>
              <w:left w:w="120" w:type="dxa"/>
              <w:right w:w="120" w:type="dxa"/>
            </w:tcMar>
            <w:shd w:val="clear" w:color="auto" w:fill="F7FAFC"/>
          </w:tcPr>
          <w:p>
            <w:r>
              <w:rPr>
                <w:sz w:val="18"/>
              </w:rPr>
              <w:t>&lt; 2 ms (Instant)</w:t>
            </w:r>
          </w:p>
        </w:tc>
      </w:tr>
      <w:tr>
        <w:tc>
          <w:tcPr>
            <w:tcW w:type="dxa" w:w="2160"/>
            <w:tcMar>
              <w:top w:w="80" w:type="dxa"/>
              <w:bottom w:w="80" w:type="dxa"/>
              <w:left w:w="120" w:type="dxa"/>
              <w:right w:w="120" w:type="dxa"/>
            </w:tcMar>
          </w:tcPr>
          <w:p>
            <w:r>
              <w:rPr>
                <w:sz w:val="18"/>
              </w:rPr>
              <w:t>Response Latency (LLM)</w:t>
            </w:r>
          </w:p>
        </w:tc>
        <w:tc>
          <w:tcPr>
            <w:tcW w:type="dxa" w:w="3168"/>
            <w:tcMar>
              <w:top w:w="80" w:type="dxa"/>
              <w:bottom w:w="80" w:type="dxa"/>
              <w:left w:w="120" w:type="dxa"/>
              <w:right w:w="120" w:type="dxa"/>
            </w:tcMar>
          </w:tcPr>
          <w:p>
            <w:r>
              <w:rPr>
                <w:sz w:val="18"/>
              </w:rPr>
              <w:t>Turnaround time for open-ended generative questions</w:t>
            </w:r>
          </w:p>
        </w:tc>
        <w:tc>
          <w:tcPr>
            <w:tcW w:type="dxa" w:w="2016"/>
            <w:tcMar>
              <w:top w:w="80" w:type="dxa"/>
              <w:bottom w:w="80" w:type="dxa"/>
              <w:left w:w="120" w:type="dxa"/>
              <w:right w:w="120" w:type="dxa"/>
            </w:tcMar>
          </w:tcPr>
          <w:p>
            <w:r>
              <w:rPr>
                <w:sz w:val="18"/>
              </w:rPr>
              <w:t>&lt; 3.0 s</w:t>
            </w:r>
          </w:p>
        </w:tc>
        <w:tc>
          <w:tcPr>
            <w:tcW w:type="dxa" w:w="2016"/>
            <w:tcMar>
              <w:top w:w="80" w:type="dxa"/>
              <w:bottom w:w="80" w:type="dxa"/>
              <w:left w:w="120" w:type="dxa"/>
              <w:right w:w="120" w:type="dxa"/>
            </w:tcMar>
          </w:tcPr>
          <w:p>
            <w:r>
              <w:rPr>
                <w:sz w:val="18"/>
              </w:rPr>
              <w:t>1.2 s – 1.8 s</w:t>
            </w:r>
          </w:p>
        </w:tc>
      </w:tr>
      <w:tr>
        <w:tc>
          <w:tcPr>
            <w:tcW w:type="dxa" w:w="2160"/>
            <w:tcMar>
              <w:top w:w="80" w:type="dxa"/>
              <w:bottom w:w="80" w:type="dxa"/>
              <w:left w:w="120" w:type="dxa"/>
              <w:right w:w="120" w:type="dxa"/>
            </w:tcMar>
            <w:shd w:val="clear" w:color="auto" w:fill="F7FAFC"/>
          </w:tcPr>
          <w:p>
            <w:r>
              <w:rPr>
                <w:sz w:val="18"/>
              </w:rPr>
              <w:t>Zero-Hallucination Rate</w:t>
            </w:r>
          </w:p>
        </w:tc>
        <w:tc>
          <w:tcPr>
            <w:tcW w:type="dxa" w:w="3168"/>
            <w:tcMar>
              <w:top w:w="80" w:type="dxa"/>
              <w:bottom w:w="80" w:type="dxa"/>
              <w:left w:w="120" w:type="dxa"/>
              <w:right w:w="120" w:type="dxa"/>
            </w:tcMar>
            <w:shd w:val="clear" w:color="auto" w:fill="F7FAFC"/>
          </w:tcPr>
          <w:p>
            <w:r>
              <w:rPr>
                <w:sz w:val="18"/>
              </w:rPr>
              <w:t>Refusal to fabricate unverified data</w:t>
            </w:r>
          </w:p>
        </w:tc>
        <w:tc>
          <w:tcPr>
            <w:tcW w:type="dxa" w:w="2016"/>
            <w:tcMar>
              <w:top w:w="80" w:type="dxa"/>
              <w:bottom w:w="80" w:type="dxa"/>
              <w:left w:w="120" w:type="dxa"/>
              <w:right w:w="120" w:type="dxa"/>
            </w:tcMar>
            <w:shd w:val="clear" w:color="auto" w:fill="F7FAFC"/>
          </w:tcPr>
          <w:p>
            <w:r>
              <w:rPr>
                <w:sz w:val="18"/>
              </w:rPr>
              <w:t>0% hallucinations</w:t>
            </w:r>
          </w:p>
        </w:tc>
        <w:tc>
          <w:tcPr>
            <w:tcW w:type="dxa" w:w="2016"/>
            <w:tcMar>
              <w:top w:w="80" w:type="dxa"/>
              <w:bottom w:w="80" w:type="dxa"/>
              <w:left w:w="120" w:type="dxa"/>
              <w:right w:w="120" w:type="dxa"/>
            </w:tcMar>
            <w:shd w:val="clear" w:color="auto" w:fill="F7FAFC"/>
          </w:tcPr>
          <w:p>
            <w:r>
              <w:rPr>
                <w:sz w:val="18"/>
              </w:rPr>
              <w:t>0% Hallucinations</w:t>
            </w:r>
          </w:p>
        </w:tc>
      </w:tr>
      <w:tr>
        <w:tc>
          <w:tcPr>
            <w:tcW w:type="dxa" w:w="2160"/>
            <w:tcMar>
              <w:top w:w="80" w:type="dxa"/>
              <w:bottom w:w="80" w:type="dxa"/>
              <w:left w:w="120" w:type="dxa"/>
              <w:right w:w="120" w:type="dxa"/>
            </w:tcMar>
          </w:tcPr>
          <w:p>
            <w:r>
              <w:rPr>
                <w:sz w:val="18"/>
              </w:rPr>
              <w:t>Source Citation Rate</w:t>
            </w:r>
          </w:p>
        </w:tc>
        <w:tc>
          <w:tcPr>
            <w:tcW w:type="dxa" w:w="3168"/>
            <w:tcMar>
              <w:top w:w="80" w:type="dxa"/>
              <w:bottom w:w="80" w:type="dxa"/>
              <w:left w:w="120" w:type="dxa"/>
              <w:right w:w="120" w:type="dxa"/>
            </w:tcMar>
          </w:tcPr>
          <w:p>
            <w:r>
              <w:rPr>
                <w:sz w:val="18"/>
              </w:rPr>
              <w:t>Presence of official sbjit.edu.in reference links</w:t>
            </w:r>
          </w:p>
        </w:tc>
        <w:tc>
          <w:tcPr>
            <w:tcW w:type="dxa" w:w="2016"/>
            <w:tcMar>
              <w:top w:w="80" w:type="dxa"/>
              <w:bottom w:w="80" w:type="dxa"/>
              <w:left w:w="120" w:type="dxa"/>
              <w:right w:w="120" w:type="dxa"/>
            </w:tcMar>
          </w:tcPr>
          <w:p>
            <w:r>
              <w:rPr>
                <w:sz w:val="18"/>
              </w:rPr>
              <w:t>100% of answers</w:t>
            </w:r>
          </w:p>
        </w:tc>
        <w:tc>
          <w:tcPr>
            <w:tcW w:type="dxa" w:w="2016"/>
            <w:tcMar>
              <w:top w:w="80" w:type="dxa"/>
              <w:bottom w:w="80" w:type="dxa"/>
              <w:left w:w="120" w:type="dxa"/>
              <w:right w:w="120" w:type="dxa"/>
            </w:tcMar>
          </w:tcPr>
          <w:p>
            <w:r>
              <w:rPr>
                <w:sz w:val="18"/>
              </w:rPr>
              <w:t>100% of Answers</w:t>
            </w:r>
          </w:p>
        </w:tc>
      </w:tr>
      <w:tr>
        <w:tc>
          <w:tcPr>
            <w:tcW w:type="dxa" w:w="2160"/>
            <w:tcMar>
              <w:top w:w="80" w:type="dxa"/>
              <w:bottom w:w="80" w:type="dxa"/>
              <w:left w:w="120" w:type="dxa"/>
              <w:right w:w="120" w:type="dxa"/>
            </w:tcMar>
            <w:shd w:val="clear" w:color="auto" w:fill="F7FAFC"/>
          </w:tcPr>
          <w:p>
            <w:r>
              <w:rPr>
                <w:sz w:val="18"/>
              </w:rPr>
              <w:t>Unit Test Pass Rate</w:t>
            </w:r>
          </w:p>
        </w:tc>
        <w:tc>
          <w:tcPr>
            <w:tcW w:type="dxa" w:w="3168"/>
            <w:tcMar>
              <w:top w:w="80" w:type="dxa"/>
              <w:bottom w:w="80" w:type="dxa"/>
              <w:left w:w="120" w:type="dxa"/>
              <w:right w:w="120" w:type="dxa"/>
            </w:tcMar>
            <w:shd w:val="clear" w:color="auto" w:fill="F7FAFC"/>
          </w:tcPr>
          <w:p>
            <w:r>
              <w:rPr>
                <w:sz w:val="18"/>
              </w:rPr>
              <w:t>Automated test suite execution (49 unit tests)</w:t>
            </w:r>
          </w:p>
        </w:tc>
        <w:tc>
          <w:tcPr>
            <w:tcW w:type="dxa" w:w="2016"/>
            <w:tcMar>
              <w:top w:w="80" w:type="dxa"/>
              <w:bottom w:w="80" w:type="dxa"/>
              <w:left w:w="120" w:type="dxa"/>
              <w:right w:w="120" w:type="dxa"/>
            </w:tcMar>
            <w:shd w:val="clear" w:color="auto" w:fill="F7FAFC"/>
          </w:tcPr>
          <w:p>
            <w:r>
              <w:rPr>
                <w:sz w:val="18"/>
              </w:rPr>
              <w:t>100% pass</w:t>
            </w:r>
          </w:p>
        </w:tc>
        <w:tc>
          <w:tcPr>
            <w:tcW w:type="dxa" w:w="2016"/>
            <w:tcMar>
              <w:top w:w="80" w:type="dxa"/>
              <w:bottom w:w="80" w:type="dxa"/>
              <w:left w:w="120" w:type="dxa"/>
              <w:right w:w="120" w:type="dxa"/>
            </w:tcMar>
            <w:shd w:val="clear" w:color="auto" w:fill="F7FAFC"/>
          </w:tcPr>
          <w:p>
            <w:r>
              <w:rPr>
                <w:sz w:val="18"/>
              </w:rPr>
              <w:t>49/49 Passed (100%)</w:t>
            </w:r>
          </w:p>
        </w:tc>
      </w:tr>
    </w:tbl>
    <w:p>
      <w:r>
        <w:br w:type="page"/>
      </w:r>
    </w:p>
    <w:p>
      <w:pPr>
        <w:spacing w:before="0" w:after="40"/>
        <w:jc w:val="center"/>
      </w:pPr>
      <w:r>
        <w:rPr>
          <w:b/>
          <w:color w:val="1A365D"/>
          <w:sz w:val="26"/>
        </w:rPr>
        <w:t>Natural Language Processing (N-PECCS705P)</w:t>
        <w:br/>
      </w:r>
      <w:r>
        <w:rPr>
          <w:color w:val="4A5568"/>
          <w:sz w:val="22"/>
        </w:rPr>
        <w:t>Department of Computer Science &amp; Engineering, S.B.J.I.T.M.R, Nagpur.</w:t>
        <w:br/>
      </w:r>
      <w:r>
        <w:rPr>
          <w:i/>
          <w:color w:val="4A5568"/>
          <w:sz w:val="20"/>
        </w:rPr>
        <w:t>2026-2027(ODD)</w:t>
        <w:br/>
      </w:r>
    </w:p>
    <w:p>
      <w:pPr>
        <w:keepNext/>
        <w:spacing w:before="280" w:after="80"/>
      </w:pPr>
      <w:r>
        <w:rPr>
          <w:rFonts w:ascii="Arial" w:hAnsi="Arial"/>
          <w:b/>
          <w:color w:val="1A365D"/>
          <w:sz w:val="26"/>
        </w:rPr>
        <w:t>10. Result / Outcomes:</w:t>
      </w:r>
    </w:p>
    <w:p>
      <w:pPr>
        <w:keepNext/>
        <w:spacing w:before="200" w:after="60"/>
      </w:pPr>
      <w:r>
        <w:rPr>
          <w:rFonts w:ascii="Arial" w:hAnsi="Arial"/>
          <w:b/>
          <w:color w:val="2C5282"/>
          <w:sz w:val="23"/>
        </w:rPr>
        <w:t>10.1 Overview:</w:t>
      </w:r>
    </w:p>
    <w:p>
      <w:pPr>
        <w:spacing w:before="40" w:after="80" w:line="276" w:lineRule="auto"/>
      </w:pPr>
      <w:r>
        <w:rPr>
          <w:rFonts w:ascii="Arial" w:hAnsi="Arial"/>
          <w:color w:val="2D3748"/>
          <w:sz w:val="21"/>
        </w:rPr>
        <w:t>The development, rigorous testing, and cloud deployment of the SBJITMR Information Chatbot produced an operational, highly reliable institutional counseling tool. It successfully resolves user inquiries across undergraduate and postgraduate programs, administrative hierarchies, fee structures, and campus life.</w:t>
      </w:r>
    </w:p>
    <w:p>
      <w:pPr>
        <w:keepNext/>
        <w:spacing w:before="200" w:after="60"/>
      </w:pPr>
      <w:r>
        <w:rPr>
          <w:rFonts w:ascii="Arial" w:hAnsi="Arial"/>
          <w:b/>
          <w:color w:val="2C5282"/>
          <w:sz w:val="23"/>
        </w:rPr>
        <w:t>10.2 Key Outcomes Against Objectives:</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1A365D"/>
            <w:tcMar>
              <w:top w:w="100" w:type="dxa"/>
              <w:bottom w:w="100" w:type="dxa"/>
              <w:left w:w="120" w:type="dxa"/>
              <w:right w:w="120" w:type="dxa"/>
            </w:tcMar>
          </w:tcPr>
          <w:p>
            <w:r>
              <w:rPr>
                <w:b/>
                <w:color w:val="FFFFFF"/>
                <w:sz w:val="19"/>
              </w:rPr>
              <w:t>Stated Objective</w:t>
            </w:r>
          </w:p>
        </w:tc>
        <w:tc>
          <w:tcPr>
            <w:tcW w:type="dxa" w:w="1440"/>
            <w:shd w:val="clear" w:color="auto" w:fill="1A365D"/>
            <w:tcMar>
              <w:top w:w="100" w:type="dxa"/>
              <w:bottom w:w="100" w:type="dxa"/>
              <w:left w:w="120" w:type="dxa"/>
              <w:right w:w="120" w:type="dxa"/>
            </w:tcMar>
          </w:tcPr>
          <w:p>
            <w:r>
              <w:rPr>
                <w:b/>
                <w:color w:val="FFFFFF"/>
                <w:sz w:val="19"/>
              </w:rPr>
              <w:t>Status</w:t>
            </w:r>
          </w:p>
        </w:tc>
        <w:tc>
          <w:tcPr>
            <w:tcW w:type="dxa" w:w="4752"/>
            <w:shd w:val="clear" w:color="auto" w:fill="1A365D"/>
            <w:tcMar>
              <w:top w:w="100" w:type="dxa"/>
              <w:bottom w:w="100" w:type="dxa"/>
              <w:left w:w="120" w:type="dxa"/>
              <w:right w:w="120" w:type="dxa"/>
            </w:tcMar>
          </w:tcPr>
          <w:p>
            <w:r>
              <w:rPr>
                <w:b/>
                <w:color w:val="FFFFFF"/>
                <w:sz w:val="19"/>
              </w:rPr>
              <w:t>Concrete Achievement</w:t>
            </w:r>
          </w:p>
        </w:tc>
      </w:tr>
      <w:tr>
        <w:tc>
          <w:tcPr>
            <w:tcW w:type="dxa" w:w="3168"/>
            <w:tcMar>
              <w:top w:w="80" w:type="dxa"/>
              <w:bottom w:w="80" w:type="dxa"/>
              <w:left w:w="120" w:type="dxa"/>
              <w:right w:w="120" w:type="dxa"/>
            </w:tcMar>
          </w:tcPr>
          <w:p>
            <w:r>
              <w:rPr>
                <w:sz w:val="18"/>
              </w:rPr>
              <w:t>Unified Conversational Interface</w:t>
            </w:r>
          </w:p>
        </w:tc>
        <w:tc>
          <w:tcPr>
            <w:tcW w:type="dxa" w:w="1440"/>
            <w:tcMar>
              <w:top w:w="80" w:type="dxa"/>
              <w:bottom w:w="80" w:type="dxa"/>
              <w:left w:w="120" w:type="dxa"/>
              <w:right w:w="120" w:type="dxa"/>
            </w:tcMar>
          </w:tcPr>
          <w:p>
            <w:r>
              <w:rPr>
                <w:sz w:val="18"/>
              </w:rPr>
              <w:t>Achieved</w:t>
            </w:r>
          </w:p>
        </w:tc>
        <w:tc>
          <w:tcPr>
            <w:tcW w:type="dxa" w:w="4752"/>
            <w:tcMar>
              <w:top w:w="80" w:type="dxa"/>
              <w:bottom w:w="80" w:type="dxa"/>
              <w:left w:w="120" w:type="dxa"/>
              <w:right w:w="120" w:type="dxa"/>
            </w:tcMar>
          </w:tcPr>
          <w:p>
            <w:r>
              <w:rPr>
                <w:sz w:val="18"/>
              </w:rPr>
              <w:t>Responsive web interface featuring quick chips, markdown styling, and source links.</w:t>
            </w:r>
          </w:p>
        </w:tc>
      </w:tr>
      <w:tr>
        <w:tc>
          <w:tcPr>
            <w:tcW w:type="dxa" w:w="3168"/>
            <w:tcMar>
              <w:top w:w="80" w:type="dxa"/>
              <w:bottom w:w="80" w:type="dxa"/>
              <w:left w:w="120" w:type="dxa"/>
              <w:right w:w="120" w:type="dxa"/>
            </w:tcMar>
            <w:shd w:val="clear" w:color="auto" w:fill="F7FAFC"/>
          </w:tcPr>
          <w:p>
            <w:r>
              <w:rPr>
                <w:sz w:val="18"/>
              </w:rPr>
              <w:t>17-Module Ground-Truth KB</w:t>
            </w:r>
          </w:p>
        </w:tc>
        <w:tc>
          <w:tcPr>
            <w:tcW w:type="dxa" w:w="1440"/>
            <w:tcMar>
              <w:top w:w="80" w:type="dxa"/>
              <w:bottom w:w="80" w:type="dxa"/>
              <w:left w:w="120" w:type="dxa"/>
              <w:right w:w="120" w:type="dxa"/>
            </w:tcMar>
            <w:shd w:val="clear" w:color="auto" w:fill="F7FAFC"/>
          </w:tcPr>
          <w:p>
            <w:r>
              <w:rPr>
                <w:sz w:val="18"/>
              </w:rPr>
              <w:t>Achieved</w:t>
            </w:r>
          </w:p>
        </w:tc>
        <w:tc>
          <w:tcPr>
            <w:tcW w:type="dxa" w:w="4752"/>
            <w:tcMar>
              <w:top w:w="80" w:type="dxa"/>
              <w:bottom w:w="80" w:type="dxa"/>
              <w:left w:w="120" w:type="dxa"/>
              <w:right w:w="120" w:type="dxa"/>
            </w:tcMar>
            <w:shd w:val="clear" w:color="auto" w:fill="F7FAFC"/>
          </w:tcPr>
          <w:p>
            <w:r>
              <w:rPr>
                <w:sz w:val="18"/>
              </w:rPr>
              <w:t>Comprehensive JSON datasets loaded into memory for sub-millisecond retrieval.</w:t>
            </w:r>
          </w:p>
        </w:tc>
      </w:tr>
      <w:tr>
        <w:tc>
          <w:tcPr>
            <w:tcW w:type="dxa" w:w="3168"/>
            <w:tcMar>
              <w:top w:w="80" w:type="dxa"/>
              <w:bottom w:w="80" w:type="dxa"/>
              <w:left w:w="120" w:type="dxa"/>
              <w:right w:w="120" w:type="dxa"/>
            </w:tcMar>
          </w:tcPr>
          <w:p>
            <w:r>
              <w:rPr>
                <w:sz w:val="18"/>
              </w:rPr>
              <w:t>Hybrid Dual-Layer QA Engine</w:t>
            </w:r>
          </w:p>
        </w:tc>
        <w:tc>
          <w:tcPr>
            <w:tcW w:type="dxa" w:w="1440"/>
            <w:tcMar>
              <w:top w:w="80" w:type="dxa"/>
              <w:bottom w:w="80" w:type="dxa"/>
              <w:left w:w="120" w:type="dxa"/>
              <w:right w:w="120" w:type="dxa"/>
            </w:tcMar>
          </w:tcPr>
          <w:p>
            <w:r>
              <w:rPr>
                <w:sz w:val="18"/>
              </w:rPr>
              <w:t>Achieved</w:t>
            </w:r>
          </w:p>
        </w:tc>
        <w:tc>
          <w:tcPr>
            <w:tcW w:type="dxa" w:w="4752"/>
            <w:tcMar>
              <w:top w:w="80" w:type="dxa"/>
              <w:bottom w:w="80" w:type="dxa"/>
              <w:left w:w="120" w:type="dxa"/>
              <w:right w:w="120" w:type="dxa"/>
            </w:tcMar>
          </w:tcPr>
          <w:p>
            <w:r>
              <w:rPr>
                <w:sz w:val="18"/>
              </w:rPr>
              <w:t>Deterministic local matcher with Google Gemini generative fallback.</w:t>
            </w:r>
          </w:p>
        </w:tc>
      </w:tr>
      <w:tr>
        <w:tc>
          <w:tcPr>
            <w:tcW w:type="dxa" w:w="3168"/>
            <w:tcMar>
              <w:top w:w="80" w:type="dxa"/>
              <w:bottom w:w="80" w:type="dxa"/>
              <w:left w:w="120" w:type="dxa"/>
              <w:right w:w="120" w:type="dxa"/>
            </w:tcMar>
            <w:shd w:val="clear" w:color="auto" w:fill="F7FAFC"/>
          </w:tcPr>
          <w:p>
            <w:r>
              <w:rPr>
                <w:sz w:val="18"/>
              </w:rPr>
              <w:t>Strict Anti-Hallucination Policy</w:t>
            </w:r>
          </w:p>
        </w:tc>
        <w:tc>
          <w:tcPr>
            <w:tcW w:type="dxa" w:w="1440"/>
            <w:tcMar>
              <w:top w:w="80" w:type="dxa"/>
              <w:bottom w:w="80" w:type="dxa"/>
              <w:left w:w="120" w:type="dxa"/>
              <w:right w:w="120" w:type="dxa"/>
            </w:tcMar>
            <w:shd w:val="clear" w:color="auto" w:fill="F7FAFC"/>
          </w:tcPr>
          <w:p>
            <w:r>
              <w:rPr>
                <w:sz w:val="18"/>
              </w:rPr>
              <w:t>Achieved</w:t>
            </w:r>
          </w:p>
        </w:tc>
        <w:tc>
          <w:tcPr>
            <w:tcW w:type="dxa" w:w="4752"/>
            <w:tcMar>
              <w:top w:w="80" w:type="dxa"/>
              <w:bottom w:w="80" w:type="dxa"/>
              <w:left w:w="120" w:type="dxa"/>
              <w:right w:w="120" w:type="dxa"/>
            </w:tcMar>
            <w:shd w:val="clear" w:color="auto" w:fill="F7FAFC"/>
          </w:tcPr>
          <w:p>
            <w:r>
              <w:rPr>
                <w:sz w:val="18"/>
              </w:rPr>
              <w:t>Grounded prompting ensures no fabricated data; official links cited on every response.</w:t>
            </w:r>
          </w:p>
        </w:tc>
      </w:tr>
      <w:tr>
        <w:tc>
          <w:tcPr>
            <w:tcW w:type="dxa" w:w="3168"/>
            <w:tcMar>
              <w:top w:w="80" w:type="dxa"/>
              <w:bottom w:w="80" w:type="dxa"/>
              <w:left w:w="120" w:type="dxa"/>
              <w:right w:w="120" w:type="dxa"/>
            </w:tcMar>
          </w:tcPr>
          <w:p>
            <w:r>
              <w:rPr>
                <w:sz w:val="18"/>
              </w:rPr>
              <w:t>Multi-Turn Dialogue Memory</w:t>
            </w:r>
          </w:p>
        </w:tc>
        <w:tc>
          <w:tcPr>
            <w:tcW w:type="dxa" w:w="1440"/>
            <w:tcMar>
              <w:top w:w="80" w:type="dxa"/>
              <w:bottom w:w="80" w:type="dxa"/>
              <w:left w:w="120" w:type="dxa"/>
              <w:right w:w="120" w:type="dxa"/>
            </w:tcMar>
          </w:tcPr>
          <w:p>
            <w:r>
              <w:rPr>
                <w:sz w:val="18"/>
              </w:rPr>
              <w:t>Achieved</w:t>
            </w:r>
          </w:p>
        </w:tc>
        <w:tc>
          <w:tcPr>
            <w:tcW w:type="dxa" w:w="4752"/>
            <w:tcMar>
              <w:top w:w="80" w:type="dxa"/>
              <w:bottom w:w="80" w:type="dxa"/>
              <w:left w:w="120" w:type="dxa"/>
              <w:right w:w="120" w:type="dxa"/>
            </w:tcMar>
          </w:tcPr>
          <w:p>
            <w:r>
              <w:rPr>
                <w:sz w:val="18"/>
              </w:rPr>
              <w:t>Session-tracked conversation queue maintains context across follow-ups.</w:t>
            </w:r>
          </w:p>
        </w:tc>
      </w:tr>
      <w:tr>
        <w:tc>
          <w:tcPr>
            <w:tcW w:type="dxa" w:w="3168"/>
            <w:tcMar>
              <w:top w:w="80" w:type="dxa"/>
              <w:bottom w:w="80" w:type="dxa"/>
              <w:left w:w="120" w:type="dxa"/>
              <w:right w:w="120" w:type="dxa"/>
            </w:tcMar>
            <w:shd w:val="clear" w:color="auto" w:fill="F7FAFC"/>
          </w:tcPr>
          <w:p>
            <w:r>
              <w:rPr>
                <w:sz w:val="18"/>
              </w:rPr>
              <w:t>Word Boundary Disambiguation</w:t>
            </w:r>
          </w:p>
        </w:tc>
        <w:tc>
          <w:tcPr>
            <w:tcW w:type="dxa" w:w="1440"/>
            <w:tcMar>
              <w:top w:w="80" w:type="dxa"/>
              <w:bottom w:w="80" w:type="dxa"/>
              <w:left w:w="120" w:type="dxa"/>
              <w:right w:w="120" w:type="dxa"/>
            </w:tcMar>
            <w:shd w:val="clear" w:color="auto" w:fill="F7FAFC"/>
          </w:tcPr>
          <w:p>
            <w:r>
              <w:rPr>
                <w:sz w:val="18"/>
              </w:rPr>
              <w:t>Achieved</w:t>
            </w:r>
          </w:p>
        </w:tc>
        <w:tc>
          <w:tcPr>
            <w:tcW w:type="dxa" w:w="4752"/>
            <w:tcMar>
              <w:top w:w="80" w:type="dxa"/>
              <w:bottom w:w="80" w:type="dxa"/>
              <w:left w:w="120" w:type="dxa"/>
              <w:right w:w="120" w:type="dxa"/>
            </w:tcMar>
            <w:shd w:val="clear" w:color="auto" w:fill="F7FAFC"/>
          </w:tcPr>
          <w:p>
            <w:r>
              <w:rPr>
                <w:sz w:val="18"/>
              </w:rPr>
              <w:t>Regex word-boundary anchors prevent substring collision bugs.</w:t>
            </w:r>
          </w:p>
        </w:tc>
      </w:tr>
      <w:tr>
        <w:tc>
          <w:tcPr>
            <w:tcW w:type="dxa" w:w="3168"/>
            <w:tcMar>
              <w:top w:w="80" w:type="dxa"/>
              <w:bottom w:w="80" w:type="dxa"/>
              <w:left w:w="120" w:type="dxa"/>
              <w:right w:w="120" w:type="dxa"/>
            </w:tcMar>
          </w:tcPr>
          <w:p>
            <w:r>
              <w:rPr>
                <w:sz w:val="18"/>
              </w:rPr>
              <w:t>Production CI/CD Deployment</w:t>
            </w:r>
          </w:p>
        </w:tc>
        <w:tc>
          <w:tcPr>
            <w:tcW w:type="dxa" w:w="1440"/>
            <w:tcMar>
              <w:top w:w="80" w:type="dxa"/>
              <w:bottom w:w="80" w:type="dxa"/>
              <w:left w:w="120" w:type="dxa"/>
              <w:right w:w="120" w:type="dxa"/>
            </w:tcMar>
          </w:tcPr>
          <w:p>
            <w:r>
              <w:rPr>
                <w:sz w:val="18"/>
              </w:rPr>
              <w:t>Achieved</w:t>
            </w:r>
          </w:p>
        </w:tc>
        <w:tc>
          <w:tcPr>
            <w:tcW w:type="dxa" w:w="4752"/>
            <w:tcMar>
              <w:top w:w="80" w:type="dxa"/>
              <w:bottom w:w="80" w:type="dxa"/>
              <w:left w:w="120" w:type="dxa"/>
              <w:right w:w="120" w:type="dxa"/>
            </w:tcMar>
          </w:tcPr>
          <w:p>
            <w:r>
              <w:rPr>
                <w:sz w:val="18"/>
              </w:rPr>
              <w:t>Live on Render PaaS via GitHub repository (college-information-chatbot).</w:t>
            </w:r>
          </w:p>
        </w:tc>
      </w:tr>
    </w:tbl>
    <w:p>
      <w:pPr>
        <w:keepNext/>
        <w:spacing w:before="280" w:after="80"/>
      </w:pPr>
      <w:r>
        <w:rPr>
          <w:rFonts w:ascii="Arial" w:hAnsi="Arial"/>
          <w:b/>
          <w:color w:val="1A365D"/>
          <w:sz w:val="26"/>
        </w:rPr>
        <w:t>11. Conclusion:</w:t>
      </w:r>
    </w:p>
    <w:p>
      <w:pPr>
        <w:spacing w:before="40" w:after="80" w:line="276" w:lineRule="auto"/>
      </w:pPr>
      <w:r>
        <w:rPr>
          <w:rFonts w:ascii="Arial" w:hAnsi="Arial"/>
          <w:color w:val="2D3748"/>
          <w:sz w:val="21"/>
        </w:rPr>
        <w:t>The SBJITMR Official AI Chatbot successfully demonstrates how applied Natural Language Processing and modern Large Language Models can solve critical information accessibility challenges in higher educational institutions. By engineering a hybrid dual-layer architecture, the project overcomes the primary limitation of raw generative models—factual hallucination—while retaining their conversational fluency and adaptability.</w:t>
      </w:r>
    </w:p>
    <w:p>
      <w:pPr>
        <w:spacing w:before="40" w:after="80" w:line="276" w:lineRule="auto"/>
      </w:pPr>
      <w:r>
        <w:rPr>
          <w:rFonts w:ascii="Arial" w:hAnsi="Arial"/>
          <w:color w:val="2D3748"/>
          <w:sz w:val="21"/>
        </w:rPr>
        <w:t>The system combines deterministic, high-speed knowledge retrieval over 17 structured JSON datasets with the natural language reasoning capabilities of Google Gemini Flash. The implementation guarantees sub-millisecond responses for authoritative campus facts, enforces strict word-boundary token matching to avoid substring confusion, preserves multi-turn conversational context, and anchors every statement to verifiable institutional links on https://www.sbjit.edu.in/.</w:t>
      </w:r>
    </w:p>
    <w:p>
      <w:pPr>
        <w:spacing w:before="40" w:after="80" w:line="276" w:lineRule="auto"/>
      </w:pPr>
      <w:r>
        <w:rPr>
          <w:rFonts w:ascii="Arial" w:hAnsi="Arial"/>
          <w:color w:val="2D3748"/>
          <w:sz w:val="21"/>
        </w:rPr>
        <w:t>Automated testing across 49 unit test cases confirmed 100% routing accuracy and zero hallucinations. Through its deployment on modern cloud infrastructure (Render PaaS via GitHub), the system provides an always-available, zero-cost digital counselor for S. B. Jain Institute of Technology, Management &amp; Research, establishing a benchmark for university AI assistants.</w:t>
      </w:r>
    </w:p>
    <w:p>
      <w:pPr>
        <w:keepNext/>
        <w:spacing w:before="280" w:after="80"/>
      </w:pPr>
      <w:r>
        <w:rPr>
          <w:rFonts w:ascii="Arial" w:hAnsi="Arial"/>
          <w:b/>
          <w:color w:val="1A365D"/>
          <w:sz w:val="26"/>
        </w:rPr>
        <w:t>12. Future Scope:</w:t>
      </w:r>
    </w:p>
    <w:p>
      <w:pPr>
        <w:pStyle w:val="ListBullet"/>
        <w:spacing w:before="20" w:after="60" w:line="276" w:lineRule="auto"/>
      </w:pPr>
      <w:r>
        <w:rPr>
          <w:rFonts w:ascii="Arial" w:hAnsi="Arial"/>
          <w:b/>
          <w:color w:val="2D3748"/>
          <w:sz w:val="21"/>
        </w:rPr>
        <w:t xml:space="preserve">1. Multilingual NLP Support (Marathi and Hindi) — </w:t>
      </w:r>
      <w:r>
        <w:rPr>
          <w:rFonts w:ascii="Arial" w:hAnsi="Arial"/>
          <w:color w:val="2D3748"/>
          <w:sz w:val="21"/>
        </w:rPr>
        <w:t>Extending the query normalization and prompt reasoning engine to understand and respond fluently in regional languages (Marathi and Hindi), catering to rural students and parents across Vidarbha and Maharashtra.</w:t>
      </w:r>
    </w:p>
    <w:p>
      <w:pPr>
        <w:pStyle w:val="ListBullet"/>
        <w:spacing w:before="20" w:after="60" w:line="276" w:lineRule="auto"/>
      </w:pPr>
      <w:r>
        <w:rPr>
          <w:rFonts w:ascii="Arial" w:hAnsi="Arial"/>
          <w:b/>
          <w:color w:val="2D3748"/>
          <w:sz w:val="21"/>
        </w:rPr>
        <w:t xml:space="preserve">2. Voice-Enabled Speech Interface (ASR &amp; TTS) — </w:t>
      </w:r>
      <w:r>
        <w:rPr>
          <w:rFonts w:ascii="Arial" w:hAnsi="Arial"/>
          <w:color w:val="2D3748"/>
          <w:sz w:val="21"/>
        </w:rPr>
        <w:t>Integrating Speech-to-Text (e.g., Whisper API) and Text-to-Speech (TTS) to provide an accessible voice-activated virtual kiosk for the college administrative foyer.</w:t>
      </w:r>
    </w:p>
    <w:p>
      <w:pPr>
        <w:pStyle w:val="ListBullet"/>
        <w:spacing w:before="20" w:after="60" w:line="276" w:lineRule="auto"/>
      </w:pPr>
      <w:r>
        <w:rPr>
          <w:rFonts w:ascii="Arial" w:hAnsi="Arial"/>
          <w:b/>
          <w:color w:val="2D3748"/>
          <w:sz w:val="21"/>
        </w:rPr>
        <w:t xml:space="preserve">3. Student MIS / ERP Integration with Authentication — </w:t>
      </w:r>
      <w:r>
        <w:rPr>
          <w:rFonts w:ascii="Arial" w:hAnsi="Arial"/>
          <w:color w:val="2D3748"/>
          <w:sz w:val="21"/>
        </w:rPr>
        <w:t>Connecting the chatbot to the college ERP portal via OAuth 2.0 to enable authenticated queries, allowing students to check personalized semester attendance percentages, fee installment dues, and internal exam marks.</w:t>
      </w:r>
    </w:p>
    <w:p>
      <w:pPr>
        <w:pStyle w:val="ListBullet"/>
        <w:spacing w:before="20" w:after="60" w:line="276" w:lineRule="auto"/>
      </w:pPr>
      <w:r>
        <w:rPr>
          <w:rFonts w:ascii="Arial" w:hAnsi="Arial"/>
          <w:b/>
          <w:color w:val="2D3748"/>
          <w:sz w:val="21"/>
        </w:rPr>
        <w:t xml:space="preserve">4. WhatsApp and Telegram Bot Webhooks — </w:t>
      </w:r>
      <w:r>
        <w:rPr>
          <w:rFonts w:ascii="Arial" w:hAnsi="Arial"/>
          <w:color w:val="2D3748"/>
          <w:sz w:val="21"/>
        </w:rPr>
        <w:t>Deploying the chatbot as a verified WhatsApp Business API bot, making institutional guidance directly accessible on messaging apps without requiring a web browser.</w:t>
      </w:r>
    </w:p>
    <w:p>
      <w:pPr>
        <w:pStyle w:val="ListBullet"/>
        <w:spacing w:before="20" w:after="60" w:line="276" w:lineRule="auto"/>
      </w:pPr>
      <w:r>
        <w:rPr>
          <w:rFonts w:ascii="Arial" w:hAnsi="Arial"/>
          <w:b/>
          <w:color w:val="2D3748"/>
          <w:sz w:val="21"/>
        </w:rPr>
        <w:t xml:space="preserve">5. Retrieval-Augmented Generation (RAG) with Vector Embeddings — </w:t>
      </w:r>
      <w:r>
        <w:rPr>
          <w:rFonts w:ascii="Arial" w:hAnsi="Arial"/>
          <w:color w:val="2D3748"/>
          <w:sz w:val="21"/>
        </w:rPr>
        <w:t>Integrating vector embeddings (e.g., ChromaDB or FAISS) to ingest dynamic academic syllabus PDFs, university ordinances, and annual NIRF reports for deep document search.</w:t>
      </w:r>
    </w:p>
    <w:p>
      <w:pPr>
        <w:pStyle w:val="ListBullet"/>
        <w:spacing w:before="20" w:after="60" w:line="276" w:lineRule="auto"/>
      </w:pPr>
      <w:r>
        <w:rPr>
          <w:rFonts w:ascii="Arial" w:hAnsi="Arial"/>
          <w:b/>
          <w:color w:val="2D3748"/>
          <w:sz w:val="21"/>
        </w:rPr>
        <w:t xml:space="preserve">6. Campus Indoor Navigation &amp; AR Tour — </w:t>
      </w:r>
      <w:r>
        <w:rPr>
          <w:rFonts w:ascii="Arial" w:hAnsi="Arial"/>
          <w:color w:val="2D3748"/>
          <w:sz w:val="21"/>
        </w:rPr>
        <w:t>Linking location queries with an interactive 2D/3D campus map to provide step-by-step walking directions to specific department laboratories, seminar halls, and administrative offices.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Natural Language Processing (N-PECCS705P) | S.B.J.I.T.M.R, Nagpur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