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FF7043"/>
          <w:sz w:val="72"/>
        </w:rPr>
        <w:t>Qaramia</w:t>
      </w:r>
    </w:p>
    <w:p>
      <w:pPr>
        <w:jc w:val="center"/>
      </w:pPr>
      <w:r>
        <w:rPr>
          <w:color w:val="444444"/>
          <w:sz w:val="28"/>
        </w:rPr>
        <w:t>Live Commerce Intelligence Platform</w:t>
      </w:r>
    </w:p>
    <w:p/>
    <w:p>
      <w:pPr>
        <w:jc w:val="center"/>
      </w:pPr>
      <w:r>
        <w:rPr>
          <w:b/>
          <w:color w:val="111010"/>
          <w:sz w:val="40"/>
        </w:rPr>
        <w:t>Advertising &amp; Monetisation Framework</w:t>
      </w:r>
    </w:p>
    <w:p/>
    <w:p>
      <w:pPr>
        <w:jc w:val="center"/>
      </w:pPr>
      <w:r>
        <w:rPr>
          <w:color w:val="888888"/>
          <w:sz w:val="22"/>
        </w:rPr>
        <w:t>Product Detection  ·  Ad Matching  ·  Affiliate Monetisation</w:t>
        <w:br/>
        <w:t>Advertiser Adoption  ·  Programmatic Scale</w:t>
      </w:r>
    </w:p>
    <w:p/>
    <w:p/>
    <w:p>
      <w:pPr>
        <w:jc w:val="center"/>
      </w:pPr>
      <w:r>
        <w:rPr>
          <w:color w:val="888888"/>
          <w:sz w:val="20"/>
        </w:rPr>
        <w:t>Version 2.0  |  Confidential</w:t>
      </w:r>
    </w:p>
    <w:p>
      <w:r>
        <w:br w:type="page"/>
      </w:r>
    </w:p>
    <w:p>
      <w:pPr>
        <w:spacing w:before="360" w:after="80"/>
      </w:pPr>
      <w:r>
        <w:rPr>
          <w:b/>
          <w:color w:val="FF7043"/>
          <w:sz w:val="28"/>
        </w:rPr>
        <w:t>Table of Contents</w:t>
      </w:r>
    </w:p>
    <w:p>
      <w:pPr>
        <w:pBdr>
          <w:bottom w:val="single" w:sz="6" w:space="1" w:color="FF7043"/>
        </w:pBdr>
        <w:spacing w:after="0"/>
      </w:pPr>
    </w:p>
    <w:p>
      <w:pPr>
        <w:spacing w:before="20" w:after="20"/>
      </w:pPr>
      <w:r>
        <w:rPr>
          <w:b/>
          <w:color w:val="FF7043"/>
          <w:sz w:val="20"/>
        </w:rPr>
        <w:t xml:space="preserve">1.  </w:t>
      </w:r>
      <w:r>
        <w:rPr>
          <w:color w:val="444444"/>
          <w:sz w:val="20"/>
        </w:rPr>
        <w:t>Executive Summary</w:t>
      </w:r>
    </w:p>
    <w:p>
      <w:pPr>
        <w:spacing w:before="20" w:after="20"/>
      </w:pPr>
      <w:r>
        <w:rPr>
          <w:b/>
          <w:color w:val="FF7043"/>
          <w:sz w:val="20"/>
        </w:rPr>
        <w:t xml:space="preserve">2.  </w:t>
      </w:r>
      <w:r>
        <w:rPr>
          <w:color w:val="444444"/>
          <w:sz w:val="20"/>
        </w:rPr>
        <w:t>System Architecture Overview</w:t>
      </w:r>
    </w:p>
    <w:p>
      <w:pPr>
        <w:spacing w:before="20" w:after="20"/>
      </w:pPr>
      <w:r>
        <w:rPr>
          <w:b/>
          <w:color w:val="FF7043"/>
          <w:sz w:val="20"/>
        </w:rPr>
        <w:t xml:space="preserve">3.  </w:t>
      </w:r>
      <w:r>
        <w:rPr>
          <w:color w:val="444444"/>
          <w:sz w:val="20"/>
        </w:rPr>
        <w:t>Product Detection Lifecycle</w:t>
      </w:r>
    </w:p>
    <w:p>
      <w:pPr>
        <w:spacing w:before="20" w:after="20"/>
      </w:pPr>
      <w:r>
        <w:rPr>
          <w:b/>
          <w:color w:val="FF7043"/>
          <w:sz w:val="20"/>
        </w:rPr>
        <w:t xml:space="preserve">4.  </w:t>
      </w:r>
      <w:r>
        <w:rPr>
          <w:color w:val="444444"/>
          <w:sz w:val="20"/>
        </w:rPr>
        <w:t>Ad Matching Engine</w:t>
      </w:r>
    </w:p>
    <w:p>
      <w:pPr>
        <w:spacing w:before="20" w:after="20"/>
      </w:pPr>
      <w:r>
        <w:rPr>
          <w:b/>
          <w:color w:val="FF7043"/>
          <w:sz w:val="20"/>
        </w:rPr>
        <w:t xml:space="preserve">5.  </w:t>
      </w:r>
      <w:r>
        <w:rPr>
          <w:color w:val="444444"/>
          <w:sz w:val="20"/>
        </w:rPr>
        <w:t>Affiliate Fallback</w:t>
      </w:r>
    </w:p>
    <w:p>
      <w:pPr>
        <w:spacing w:before="20" w:after="20"/>
      </w:pPr>
      <w:r>
        <w:rPr>
          <w:b/>
          <w:color w:val="FF7043"/>
          <w:sz w:val="20"/>
        </w:rPr>
        <w:t xml:space="preserve">6.  </w:t>
      </w:r>
      <w:r>
        <w:rPr>
          <w:color w:val="444444"/>
          <w:sz w:val="20"/>
        </w:rPr>
        <w:t>Viewer Experience</w:t>
      </w:r>
    </w:p>
    <w:p>
      <w:pPr>
        <w:spacing w:before="20" w:after="20"/>
      </w:pPr>
      <w:r>
        <w:rPr>
          <w:b/>
          <w:color w:val="FF7043"/>
          <w:sz w:val="20"/>
        </w:rPr>
        <w:t xml:space="preserve">7.  </w:t>
      </w:r>
      <w:r>
        <w:rPr>
          <w:color w:val="444444"/>
          <w:sz w:val="20"/>
        </w:rPr>
        <w:t>Three-Phase Advertiser Adoption Strategy</w:t>
      </w:r>
    </w:p>
    <w:p>
      <w:pPr>
        <w:spacing w:before="20" w:after="20"/>
      </w:pPr>
      <w:r>
        <w:rPr>
          <w:b/>
          <w:color w:val="FF7043"/>
          <w:sz w:val="20"/>
        </w:rPr>
        <w:t xml:space="preserve">8.  </w:t>
      </w:r>
      <w:r>
        <w:rPr>
          <w:color w:val="444444"/>
          <w:sz w:val="20"/>
        </w:rPr>
        <w:t>Advertiser Personas</w:t>
      </w:r>
    </w:p>
    <w:p>
      <w:pPr>
        <w:spacing w:before="20" w:after="20"/>
      </w:pPr>
      <w:r>
        <w:rPr>
          <w:b/>
          <w:color w:val="FF7043"/>
          <w:sz w:val="20"/>
        </w:rPr>
        <w:t xml:space="preserve">9.  </w:t>
      </w:r>
      <w:r>
        <w:rPr>
          <w:color w:val="444444"/>
          <w:sz w:val="20"/>
        </w:rPr>
        <w:t>Direct Ad Sales — Self-Serve Console</w:t>
      </w:r>
    </w:p>
    <w:p>
      <w:pPr>
        <w:spacing w:before="20" w:after="20"/>
      </w:pPr>
      <w:r>
        <w:rPr>
          <w:b/>
          <w:color w:val="FF7043"/>
          <w:sz w:val="20"/>
        </w:rPr>
        <w:t xml:space="preserve">10.  </w:t>
      </w:r>
      <w:r>
        <w:rPr>
          <w:color w:val="444444"/>
          <w:sz w:val="20"/>
        </w:rPr>
        <w:t>Agency Channel Programme</w:t>
      </w:r>
    </w:p>
    <w:p>
      <w:pPr>
        <w:spacing w:before="20" w:after="20"/>
      </w:pPr>
      <w:r>
        <w:rPr>
          <w:b/>
          <w:color w:val="FF7043"/>
          <w:sz w:val="20"/>
        </w:rPr>
        <w:t xml:space="preserve">11.  </w:t>
      </w:r>
      <w:r>
        <w:rPr>
          <w:color w:val="444444"/>
          <w:sz w:val="20"/>
        </w:rPr>
        <w:t>Programmatic Demand Integration</w:t>
      </w:r>
    </w:p>
    <w:p>
      <w:pPr>
        <w:spacing w:before="20" w:after="20"/>
      </w:pPr>
      <w:r>
        <w:rPr>
          <w:b/>
          <w:color w:val="FF7043"/>
          <w:sz w:val="20"/>
        </w:rPr>
        <w:t xml:space="preserve">12.  </w:t>
      </w:r>
      <w:r>
        <w:rPr>
          <w:color w:val="444444"/>
          <w:sz w:val="20"/>
        </w:rPr>
        <w:t>Revenue Model by Tier</w:t>
      </w:r>
    </w:p>
    <w:p>
      <w:pPr>
        <w:spacing w:before="20" w:after="20"/>
      </w:pPr>
      <w:r>
        <w:rPr>
          <w:b/>
          <w:color w:val="FF7043"/>
          <w:sz w:val="20"/>
        </w:rPr>
        <w:t xml:space="preserve">13.  </w:t>
      </w:r>
      <w:r>
        <w:rPr>
          <w:color w:val="444444"/>
          <w:sz w:val="20"/>
        </w:rPr>
        <w:t>Streamer Revenue Share</w:t>
      </w:r>
    </w:p>
    <w:p>
      <w:pPr>
        <w:spacing w:before="20" w:after="20"/>
      </w:pPr>
      <w:r>
        <w:rPr>
          <w:b/>
          <w:color w:val="FF7043"/>
          <w:sz w:val="20"/>
        </w:rPr>
        <w:t xml:space="preserve">14.  </w:t>
      </w:r>
      <w:r>
        <w:rPr>
          <w:color w:val="444444"/>
          <w:sz w:val="20"/>
        </w:rPr>
        <w:t>Measurement &amp; Impression Standards</w:t>
      </w:r>
    </w:p>
    <w:p>
      <w:pPr>
        <w:spacing w:before="20" w:after="20"/>
      </w:pPr>
      <w:r>
        <w:rPr>
          <w:b/>
          <w:color w:val="FF7043"/>
          <w:sz w:val="20"/>
        </w:rPr>
        <w:t xml:space="preserve">15.  </w:t>
      </w:r>
      <w:r>
        <w:rPr>
          <w:color w:val="444444"/>
          <w:sz w:val="20"/>
        </w:rPr>
        <w:t>End-to-End Data Flow</w:t>
      </w:r>
    </w:p>
    <w:p>
      <w:pPr>
        <w:spacing w:before="20" w:after="20"/>
      </w:pPr>
      <w:r>
        <w:rPr>
          <w:b/>
          <w:color w:val="FF7043"/>
          <w:sz w:val="20"/>
        </w:rPr>
        <w:t xml:space="preserve">16.  </w:t>
      </w:r>
      <w:r>
        <w:rPr>
          <w:color w:val="444444"/>
          <w:sz w:val="20"/>
        </w:rPr>
        <w:t>Firestore Data Model</w:t>
      </w:r>
    </w:p>
    <w:p>
      <w:pPr>
        <w:spacing w:before="20" w:after="20"/>
      </w:pPr>
      <w:r>
        <w:rPr>
          <w:b/>
          <w:color w:val="FF7043"/>
          <w:sz w:val="20"/>
        </w:rPr>
        <w:t xml:space="preserve">17.  </w:t>
      </w:r>
      <w:r>
        <w:rPr>
          <w:color w:val="444444"/>
          <w:sz w:val="20"/>
        </w:rPr>
        <w:t>Security &amp; Permissions</w:t>
      </w:r>
    </w:p>
    <w:p>
      <w:pPr>
        <w:spacing w:before="20" w:after="20"/>
      </w:pPr>
      <w:r>
        <w:rPr>
          <w:b/>
          <w:color w:val="FF7043"/>
          <w:sz w:val="20"/>
        </w:rPr>
        <w:t xml:space="preserve">18.  </w:t>
      </w:r>
      <w:r>
        <w:rPr>
          <w:color w:val="444444"/>
          <w:sz w:val="20"/>
        </w:rPr>
        <w:t>Product Gaps &amp; Build Roadmap</w:t>
      </w:r>
    </w:p>
    <w:p>
      <w:pPr>
        <w:spacing w:before="20" w:after="20"/>
      </w:pPr>
      <w:r>
        <w:rPr>
          <w:b/>
          <w:color w:val="FF7043"/>
          <w:sz w:val="20"/>
        </w:rPr>
        <w:t xml:space="preserve">19.  </w:t>
      </w:r>
      <w:r>
        <w:rPr>
          <w:color w:val="444444"/>
          <w:sz w:val="20"/>
        </w:rPr>
        <w:t>Glossary</w:t>
      </w:r>
    </w:p>
    <w:p>
      <w:r>
        <w:br w:type="page"/>
      </w:r>
    </w:p>
    <w:p>
      <w:pPr>
        <w:spacing w:before="360" w:after="80"/>
      </w:pPr>
      <w:r>
        <w:rPr>
          <w:b/>
          <w:color w:val="FF7043"/>
          <w:sz w:val="28"/>
        </w:rPr>
        <w:t>1. Executive Summary</w:t>
      </w:r>
    </w:p>
    <w:p>
      <w:pPr>
        <w:pBdr>
          <w:bottom w:val="single" w:sz="6" w:space="1" w:color="FF7043"/>
        </w:pBdr>
        <w:spacing w:after="0"/>
      </w:pPr>
    </w:p>
    <w:p>
      <w:pPr>
        <w:spacing w:before="40" w:after="80"/>
      </w:pPr>
      <w:r>
        <w:rPr>
          <w:color w:val="444444"/>
          <w:sz w:val="20"/>
        </w:rPr>
        <w:t>Qaramia is a live-streaming social platform that automatically identifies physical products visible during a stream and serves contextually relevant advertisements to viewers at the precise moment of product exposure. Unlike traditional video advertising — which interrupts content at arbitrary intervals — Qaramia placements are triggered by real-world objects, creating intent-matched impressions that command a premium CPM and are resistant to ad-blocker trends.</w:t>
      </w:r>
    </w:p>
    <w:tbl>
      <w:tblPr>
        <w:tblW w:type="auto" w:w="0"/>
        <w:jc w:val="left"/>
        <w:tblLook w:firstColumn="1" w:firstRow="1" w:lastColumn="0" w:lastRow="0" w:noHBand="0" w:noVBand="1" w:val="04A0"/>
      </w:tblPr>
      <w:tblGrid>
        <w:gridCol w:w="9406"/>
      </w:tblGrid>
      <w:tr>
        <w:tc>
          <w:tcPr>
            <w:tcW w:type="dxa" w:w="8640"/>
            <w:shd w:val="clear" w:color="auto" w:fill="FFF5F2"/>
          </w:tcPr>
          <w:p>
            <w:pPr>
              <w:spacing w:before="80" w:after="80"/>
              <w:ind w:left="170"/>
            </w:pPr>
            <w:r>
              <w:rPr>
                <w:b/>
                <w:color w:val="FF7043"/>
                <w:sz w:val="20"/>
              </w:rPr>
              <w:t xml:space="preserve">Core proposition:  </w:t>
            </w:r>
            <w:r>
              <w:rPr>
                <w:color w:val="444444"/>
                <w:sz w:val="20"/>
              </w:rPr>
              <w:t>A Qaramia impression fires because a viewer just witnessed the relevant product on screen — not because a cookie matched a demographic segment. This is witnessing-triggered commerce, not demographic retargeting.</w:t>
            </w:r>
          </w:p>
        </w:tc>
      </w:tr>
    </w:tbl>
    <w:p>
      <w:pPr>
        <w:spacing w:after="40"/>
      </w:pPr>
    </w:p>
    <w:p>
      <w:pPr>
        <w:spacing w:before="40" w:after="80"/>
      </w:pPr>
      <w:r>
        <w:rPr>
          <w:color w:val="444444"/>
          <w:sz w:val="20"/>
        </w:rPr>
        <w:t>Version 1.0 of this document described the technical lifecycle from product detection to viewer impression. Version 2.0 extends that foundation with a complete advertiser adoption strategy: a three-phase go-to-market plan, advertiser persona targeting, an agency channel programme, programmatic demand integration, a tiered revenue model, streamer revenue share, and the measurement standards required by mid-market and enterprise buyers.</w:t>
      </w:r>
    </w:p>
    <w:p>
      <w:pPr>
        <w:spacing w:before="40" w:after="80"/>
      </w:pPr>
      <w:r>
        <w:rPr>
          <w:color w:val="444444"/>
          <w:sz w:val="20"/>
        </w:rPr>
        <w:t>The platform faces a classic cold-start challenge: a keyword-only self-serve console assumes advertisers already know Qaramia exists and understand its buying model. That friction prevents scale. This document replaces that assumption with a structured path from zero to programmatic.</w:t>
      </w:r>
    </w:p>
    <w:p>
      <w:pPr>
        <w:spacing w:before="360" w:after="80"/>
      </w:pPr>
      <w:r>
        <w:rPr>
          <w:b/>
          <w:color w:val="FF7043"/>
          <w:sz w:val="28"/>
        </w:rPr>
        <w:t>2. System Architecture Overview</w:t>
      </w:r>
    </w:p>
    <w:p>
      <w:pPr>
        <w:pBdr>
          <w:bottom w:val="single" w:sz="6" w:space="1" w:color="FF7043"/>
        </w:pBdr>
        <w:spacing w:after="0"/>
      </w:pPr>
    </w:p>
    <w:p>
      <w:pPr>
        <w:spacing w:before="40" w:after="80"/>
      </w:pPr>
      <w:r>
        <w:rPr>
          <w:color w:val="444444"/>
          <w:sz w:val="20"/>
        </w:rPr>
        <w:t>The advertising system spans three layers: the streamer's browser (product detection and ad matching), Firebase Firestore (real-time state synchronisation), and the viewer's browser (ad rendering and tracking). No server-side rendering is required for the viewer path; latency from detection to viewer impression is typically under one second.</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FF7043"/>
            <w:vAlign w:val="center"/>
          </w:tcPr>
          <w:p>
            <w:pPr>
              <w:jc w:val="left"/>
            </w:pPr>
            <w:r>
              <w:rPr>
                <w:b/>
                <w:color w:val="FFFFFF"/>
                <w:sz w:val="18"/>
              </w:rPr>
              <w:t>Layer</w:t>
            </w:r>
          </w:p>
        </w:tc>
        <w:tc>
          <w:tcPr>
            <w:tcW w:type="dxa" w:w="2304"/>
            <w:shd w:val="clear" w:color="auto" w:fill="FF7043"/>
            <w:vAlign w:val="center"/>
          </w:tcPr>
          <w:p>
            <w:pPr>
              <w:jc w:val="left"/>
            </w:pPr>
            <w:r>
              <w:rPr>
                <w:b/>
                <w:color w:val="FFFFFF"/>
                <w:sz w:val="18"/>
              </w:rPr>
              <w:t>Component</w:t>
            </w:r>
          </w:p>
        </w:tc>
        <w:tc>
          <w:tcPr>
            <w:tcW w:type="dxa" w:w="4896"/>
            <w:shd w:val="clear" w:color="auto" w:fill="FF7043"/>
            <w:vAlign w:val="center"/>
          </w:tcPr>
          <w:p>
            <w:pPr>
              <w:jc w:val="left"/>
            </w:pPr>
            <w:r>
              <w:rPr>
                <w:b/>
                <w:color w:val="FFFFFF"/>
                <w:sz w:val="18"/>
              </w:rPr>
              <w:t>Responsibility</w:t>
            </w:r>
          </w:p>
        </w:tc>
      </w:tr>
      <w:tr>
        <w:tc>
          <w:tcPr>
            <w:tcW w:type="dxa" w:w="2160"/>
            <w:shd w:val="clear" w:color="auto" w:fill="FFF5F2"/>
            <w:vAlign w:val="center"/>
          </w:tcPr>
          <w:p>
            <w:r>
              <w:rPr>
                <w:color w:val="444444"/>
                <w:sz w:val="18"/>
              </w:rPr>
              <w:t>Streamer browser</w:t>
            </w:r>
          </w:p>
        </w:tc>
        <w:tc>
          <w:tcPr>
            <w:tcW w:type="dxa" w:w="2304"/>
            <w:shd w:val="clear" w:color="auto" w:fill="FFF5F2"/>
            <w:vAlign w:val="center"/>
          </w:tcPr>
          <w:p>
            <w:r>
              <w:rPr>
                <w:color w:val="444444"/>
                <w:sz w:val="18"/>
              </w:rPr>
              <w:t>Scan engine</w:t>
            </w:r>
          </w:p>
        </w:tc>
        <w:tc>
          <w:tcPr>
            <w:tcW w:type="dxa" w:w="4896"/>
            <w:shd w:val="clear" w:color="auto" w:fill="FFF5F2"/>
            <w:vAlign w:val="center"/>
          </w:tcPr>
          <w:p>
            <w:r>
              <w:rPr>
                <w:color w:val="444444"/>
                <w:sz w:val="18"/>
              </w:rPr>
              <w:t>Barcode decode + Claude Vision identification</w:t>
            </w:r>
          </w:p>
        </w:tc>
      </w:tr>
      <w:tr>
        <w:tc>
          <w:tcPr>
            <w:tcW w:type="dxa" w:w="2160"/>
            <w:shd w:val="clear" w:color="auto" w:fill="FFFFFF"/>
            <w:vAlign w:val="center"/>
          </w:tcPr>
          <w:p>
            <w:r>
              <w:rPr>
                <w:color w:val="444444"/>
                <w:sz w:val="18"/>
              </w:rPr>
              <w:t>Streamer browser</w:t>
            </w:r>
          </w:p>
        </w:tc>
        <w:tc>
          <w:tcPr>
            <w:tcW w:type="dxa" w:w="2304"/>
            <w:shd w:val="clear" w:color="auto" w:fill="FFFFFF"/>
            <w:vAlign w:val="center"/>
          </w:tcPr>
          <w:p>
            <w:r>
              <w:rPr>
                <w:color w:val="444444"/>
                <w:sz w:val="18"/>
              </w:rPr>
              <w:t>Ad matcher</w:t>
            </w:r>
          </w:p>
        </w:tc>
        <w:tc>
          <w:tcPr>
            <w:tcW w:type="dxa" w:w="4896"/>
            <w:shd w:val="clear" w:color="auto" w:fill="FFFFFF"/>
            <w:vAlign w:val="center"/>
          </w:tcPr>
          <w:p>
            <w:r>
              <w:rPr>
                <w:color w:val="444444"/>
                <w:sz w:val="18"/>
              </w:rPr>
              <w:t>Keyword/category query → best-match selection</w:t>
            </w:r>
          </w:p>
        </w:tc>
      </w:tr>
      <w:tr>
        <w:tc>
          <w:tcPr>
            <w:tcW w:type="dxa" w:w="2160"/>
            <w:shd w:val="clear" w:color="auto" w:fill="FFF5F2"/>
            <w:vAlign w:val="center"/>
          </w:tcPr>
          <w:p>
            <w:r>
              <w:rPr>
                <w:color w:val="444444"/>
                <w:sz w:val="18"/>
              </w:rPr>
              <w:t>Streamer browser</w:t>
            </w:r>
          </w:p>
        </w:tc>
        <w:tc>
          <w:tcPr>
            <w:tcW w:type="dxa" w:w="2304"/>
            <w:shd w:val="clear" w:color="auto" w:fill="FFF5F2"/>
            <w:vAlign w:val="center"/>
          </w:tcPr>
          <w:p>
            <w:r>
              <w:rPr>
                <w:color w:val="444444"/>
                <w:sz w:val="18"/>
              </w:rPr>
              <w:t>Firestore writer</w:t>
            </w:r>
          </w:p>
        </w:tc>
        <w:tc>
          <w:tcPr>
            <w:tcW w:type="dxa" w:w="4896"/>
            <w:shd w:val="clear" w:color="auto" w:fill="FFF5F2"/>
            <w:vAlign w:val="center"/>
          </w:tcPr>
          <w:p>
            <w:r>
              <w:rPr>
                <w:color w:val="444444"/>
                <w:sz w:val="18"/>
              </w:rPr>
              <w:t>Atomic write of featuredProducts + featuredAd</w:t>
            </w:r>
          </w:p>
        </w:tc>
      </w:tr>
      <w:tr>
        <w:tc>
          <w:tcPr>
            <w:tcW w:type="dxa" w:w="2160"/>
            <w:shd w:val="clear" w:color="auto" w:fill="FFFFFF"/>
            <w:vAlign w:val="center"/>
          </w:tcPr>
          <w:p>
            <w:r>
              <w:rPr>
                <w:color w:val="444444"/>
                <w:sz w:val="18"/>
              </w:rPr>
              <w:t>Firestore</w:t>
            </w:r>
          </w:p>
        </w:tc>
        <w:tc>
          <w:tcPr>
            <w:tcW w:type="dxa" w:w="2304"/>
            <w:shd w:val="clear" w:color="auto" w:fill="FFFFFF"/>
            <w:vAlign w:val="center"/>
          </w:tcPr>
          <w:p>
            <w:r>
              <w:rPr>
                <w:color w:val="444444"/>
                <w:sz w:val="18"/>
              </w:rPr>
              <w:t>streams/{id}</w:t>
            </w:r>
          </w:p>
        </w:tc>
        <w:tc>
          <w:tcPr>
            <w:tcW w:type="dxa" w:w="4896"/>
            <w:shd w:val="clear" w:color="auto" w:fill="FFFFFF"/>
            <w:vAlign w:val="center"/>
          </w:tcPr>
          <w:p>
            <w:r>
              <w:rPr>
                <w:color w:val="444444"/>
                <w:sz w:val="18"/>
              </w:rPr>
              <w:t>Real-time sync to all viewer sessions</w:t>
            </w:r>
          </w:p>
        </w:tc>
      </w:tr>
      <w:tr>
        <w:tc>
          <w:tcPr>
            <w:tcW w:type="dxa" w:w="2160"/>
            <w:shd w:val="clear" w:color="auto" w:fill="FFF5F2"/>
            <w:vAlign w:val="center"/>
          </w:tcPr>
          <w:p>
            <w:r>
              <w:rPr>
                <w:color w:val="444444"/>
                <w:sz w:val="18"/>
              </w:rPr>
              <w:t>Firestore</w:t>
            </w:r>
          </w:p>
        </w:tc>
        <w:tc>
          <w:tcPr>
            <w:tcW w:type="dxa" w:w="2304"/>
            <w:shd w:val="clear" w:color="auto" w:fill="FFF5F2"/>
            <w:vAlign w:val="center"/>
          </w:tcPr>
          <w:p>
            <w:r>
              <w:rPr>
                <w:color w:val="444444"/>
                <w:sz w:val="18"/>
              </w:rPr>
              <w:t>ads/{id}</w:t>
            </w:r>
          </w:p>
        </w:tc>
        <w:tc>
          <w:tcPr>
            <w:tcW w:type="dxa" w:w="4896"/>
            <w:shd w:val="clear" w:color="auto" w:fill="FFF5F2"/>
            <w:vAlign w:val="center"/>
          </w:tcPr>
          <w:p>
            <w:r>
              <w:rPr>
                <w:color w:val="444444"/>
                <w:sz w:val="18"/>
              </w:rPr>
              <w:t>Ad catalogue, targeting, impression/click counters</w:t>
            </w:r>
          </w:p>
        </w:tc>
      </w:tr>
      <w:tr>
        <w:tc>
          <w:tcPr>
            <w:tcW w:type="dxa" w:w="2160"/>
            <w:shd w:val="clear" w:color="auto" w:fill="FFFFFF"/>
            <w:vAlign w:val="center"/>
          </w:tcPr>
          <w:p>
            <w:r>
              <w:rPr>
                <w:color w:val="444444"/>
                <w:sz w:val="18"/>
              </w:rPr>
              <w:t>Viewer browser</w:t>
            </w:r>
          </w:p>
        </w:tc>
        <w:tc>
          <w:tcPr>
            <w:tcW w:type="dxa" w:w="2304"/>
            <w:shd w:val="clear" w:color="auto" w:fill="FFFFFF"/>
            <w:vAlign w:val="center"/>
          </w:tcPr>
          <w:p>
            <w:r>
              <w:rPr>
                <w:color w:val="444444"/>
                <w:sz w:val="18"/>
              </w:rPr>
              <w:t>ProductDrawer</w:t>
            </w:r>
          </w:p>
        </w:tc>
        <w:tc>
          <w:tcPr>
            <w:tcW w:type="dxa" w:w="4896"/>
            <w:shd w:val="clear" w:color="auto" w:fill="FFFFFF"/>
            <w:vAlign w:val="center"/>
          </w:tcPr>
          <w:p>
            <w:r>
              <w:rPr>
                <w:color w:val="444444"/>
                <w:sz w:val="18"/>
              </w:rPr>
              <w:t>Floating icon → slide-up drawer on detection</w:t>
            </w:r>
          </w:p>
        </w:tc>
      </w:tr>
      <w:tr>
        <w:tc>
          <w:tcPr>
            <w:tcW w:type="dxa" w:w="2160"/>
            <w:shd w:val="clear" w:color="auto" w:fill="FFF5F2"/>
            <w:vAlign w:val="center"/>
          </w:tcPr>
          <w:p>
            <w:r>
              <w:rPr>
                <w:color w:val="444444"/>
                <w:sz w:val="18"/>
              </w:rPr>
              <w:t>Viewer browser</w:t>
            </w:r>
          </w:p>
        </w:tc>
        <w:tc>
          <w:tcPr>
            <w:tcW w:type="dxa" w:w="2304"/>
            <w:shd w:val="clear" w:color="auto" w:fill="FFF5F2"/>
            <w:vAlign w:val="center"/>
          </w:tcPr>
          <w:p>
            <w:r>
              <w:rPr>
                <w:color w:val="444444"/>
                <w:sz w:val="18"/>
              </w:rPr>
              <w:t>Tracking</w:t>
            </w:r>
          </w:p>
        </w:tc>
        <w:tc>
          <w:tcPr>
            <w:tcW w:type="dxa" w:w="4896"/>
            <w:shd w:val="clear" w:color="auto" w:fill="FFF5F2"/>
            <w:vAlign w:val="center"/>
          </w:tcPr>
          <w:p>
            <w:r>
              <w:rPr>
                <w:color w:val="444444"/>
                <w:sz w:val="18"/>
              </w:rPr>
              <w:t>Impression + click events written to Firestore</w:t>
            </w:r>
          </w:p>
        </w:tc>
      </w:tr>
      <w:tr>
        <w:tc>
          <w:tcPr>
            <w:tcW w:type="dxa" w:w="2160"/>
            <w:shd w:val="clear" w:color="auto" w:fill="FFFFFF"/>
            <w:vAlign w:val="center"/>
          </w:tcPr>
          <w:p>
            <w:r>
              <w:rPr>
                <w:color w:val="444444"/>
                <w:sz w:val="18"/>
              </w:rPr>
              <w:t>SSP / Programmatic</w:t>
            </w:r>
          </w:p>
        </w:tc>
        <w:tc>
          <w:tcPr>
            <w:tcW w:type="dxa" w:w="2304"/>
            <w:shd w:val="clear" w:color="auto" w:fill="FFFFFF"/>
            <w:vAlign w:val="center"/>
          </w:tcPr>
          <w:p>
            <w:r>
              <w:rPr>
                <w:color w:val="444444"/>
                <w:sz w:val="18"/>
              </w:rPr>
              <w:t>OpenRTB layer</w:t>
            </w:r>
          </w:p>
        </w:tc>
        <w:tc>
          <w:tcPr>
            <w:tcW w:type="dxa" w:w="4896"/>
            <w:shd w:val="clear" w:color="auto" w:fill="FFFFFF"/>
            <w:vAlign w:val="center"/>
          </w:tcPr>
          <w:p>
            <w:r>
              <w:rPr>
                <w:color w:val="444444"/>
                <w:sz w:val="18"/>
              </w:rPr>
              <w:t>Phase 3: real-time auction for ad slot (roadmap)</w:t>
            </w:r>
          </w:p>
        </w:tc>
      </w:tr>
    </w:tbl>
    <w:p>
      <w:pPr>
        <w:spacing w:after="80"/>
      </w:pPr>
    </w:p>
    <w:p>
      <w:pPr>
        <w:spacing w:before="360" w:after="80"/>
      </w:pPr>
      <w:r>
        <w:rPr>
          <w:b/>
          <w:color w:val="FF7043"/>
          <w:sz w:val="28"/>
        </w:rPr>
        <w:t>3. Product Detection Lifecycle</w:t>
      </w:r>
    </w:p>
    <w:p>
      <w:pPr>
        <w:pBdr>
          <w:bottom w:val="single" w:sz="6" w:space="1" w:color="FF7043"/>
        </w:pBdr>
        <w:spacing w:after="0"/>
      </w:pPr>
    </w:p>
    <w:p>
      <w:pPr>
        <w:spacing w:before="40" w:after="80"/>
      </w:pPr>
      <w:r>
        <w:rPr>
          <w:color w:val="444444"/>
          <w:sz w:val="20"/>
        </w:rPr>
        <w:t>Detection runs entirely in the streamer's browser, operating against the raw camera feed (not the AR-filtered or composited output) to maximise accuracy. The streamer can trigger a single scan manually or enable continuous mode, which fires every five seconds.</w:t>
      </w:r>
    </w:p>
    <w:p>
      <w:pPr>
        <w:spacing w:before="240" w:after="40"/>
      </w:pPr>
      <w:r>
        <w:rPr>
          <w:b/>
          <w:color w:val="111010"/>
          <w:sz w:val="22"/>
        </w:rPr>
        <w:t>3.1  Scan Trigger</w:t>
      </w:r>
    </w:p>
    <w:p>
      <w:pPr>
        <w:pStyle w:val="ListBullet"/>
        <w:spacing w:before="20" w:after="20"/>
        <w:ind w:left="340"/>
      </w:pPr>
      <w:r>
        <w:rPr>
          <w:color w:val="444444"/>
          <w:sz w:val="20"/>
        </w:rPr>
        <w:t>Manual scan — streamer taps the scan button at any time.</w:t>
      </w:r>
    </w:p>
    <w:p>
      <w:pPr>
        <w:pStyle w:val="ListBullet"/>
        <w:spacing w:before="20" w:after="20"/>
        <w:ind w:left="340"/>
      </w:pPr>
      <w:r>
        <w:rPr>
          <w:color w:val="444444"/>
          <w:sz w:val="20"/>
        </w:rPr>
        <w:t>Continuous scan — a 5-second setInterval fires handleScan(auto=true) repeatedly.</w:t>
      </w:r>
    </w:p>
    <w:p>
      <w:pPr>
        <w:spacing w:before="40" w:after="80"/>
        <w:ind w:left="340"/>
      </w:pPr>
      <w:r>
        <w:rPr>
          <w:color w:val="444444"/>
          <w:sz w:val="20"/>
        </w:rPr>
        <w:t>Both paths converge on the same scan function and produce identical output.</w:t>
      </w:r>
    </w:p>
    <w:p>
      <w:pPr>
        <w:spacing w:before="240" w:after="40"/>
      </w:pPr>
      <w:r>
        <w:rPr>
          <w:b/>
          <w:color w:val="111010"/>
          <w:sz w:val="22"/>
        </w:rPr>
        <w:t>3.2  Barcode Path (Primary)</w:t>
      </w:r>
    </w:p>
    <w:p>
      <w:pPr>
        <w:spacing w:before="40" w:after="80"/>
      </w:pPr>
      <w:r>
        <w:rPr>
          <w:color w:val="444444"/>
          <w:sz w:val="20"/>
        </w:rPr>
        <w:t>Attempted first on every scan tick because it is instant (&lt; 50 ms), free, and deterministic.</w:t>
      </w:r>
    </w:p>
    <w:p>
      <w:pPr>
        <w:pStyle w:val="ListBullet"/>
        <w:spacing w:before="20" w:after="20"/>
        <w:ind w:left="340"/>
      </w:pPr>
      <w:r>
        <w:rPr>
          <w:color w:val="444444"/>
          <w:sz w:val="20"/>
        </w:rPr>
        <w:t>ZXing BrowserMultiFormatReader decodes any 1D or 2D barcode in the frame.</w:t>
      </w:r>
    </w:p>
    <w:p>
      <w:pPr>
        <w:pStyle w:val="ListBullet"/>
        <w:spacing w:before="20" w:after="20"/>
        <w:ind w:left="340"/>
      </w:pPr>
      <w:r>
        <w:rPr>
          <w:color w:val="444444"/>
          <w:sz w:val="20"/>
        </w:rPr>
        <w:t>In auto mode: if barcode string is unchanged since last tick, scan is aborted — no network call.</w:t>
      </w:r>
    </w:p>
    <w:p>
      <w:pPr>
        <w:pStyle w:val="ListBullet"/>
        <w:spacing w:before="20" w:after="20"/>
        <w:ind w:left="340"/>
      </w:pPr>
      <w:r>
        <w:rPr>
          <w:color w:val="444444"/>
          <w:sz w:val="20"/>
        </w:rPr>
        <w:t>New barcode triggers lookup via Open Food Facts then UPC Item DB in sequence.</w:t>
      </w:r>
    </w:p>
    <w:p>
      <w:pPr>
        <w:pStyle w:val="ListBullet"/>
        <w:spacing w:before="20" w:after="20"/>
        <w:ind w:left="340"/>
      </w:pPr>
      <w:r>
        <w:rPr>
          <w:color w:val="444444"/>
          <w:sz w:val="20"/>
        </w:rPr>
        <w:t>Resolved product (or minimal stub) is published to Firestore.</w:t>
      </w:r>
    </w:p>
    <w:p>
      <w:pPr>
        <w:spacing w:before="240" w:after="40"/>
      </w:pPr>
      <w:r>
        <w:rPr>
          <w:b/>
          <w:color w:val="111010"/>
          <w:sz w:val="22"/>
        </w:rPr>
        <w:t>3.3  Vision Path (Fallback)</w:t>
      </w:r>
    </w:p>
    <w:p>
      <w:pPr>
        <w:spacing w:before="40" w:after="80"/>
      </w:pPr>
      <w:r>
        <w:rPr>
          <w:color w:val="444444"/>
          <w:sz w:val="20"/>
        </w:rPr>
        <w:t>When no barcode is detected, a vision model identifies products by visual appearance — packaging, logos, brand typography, and shape.</w:t>
      </w:r>
    </w:p>
    <w:p>
      <w:pPr>
        <w:pStyle w:val="ListBullet"/>
        <w:spacing w:before="20" w:after="20"/>
        <w:ind w:left="340"/>
      </w:pPr>
      <w:r>
        <w:rPr>
          <w:color w:val="444444"/>
          <w:sz w:val="20"/>
        </w:rPr>
        <w:t>A 32×32 thumbnail fingerprint is computed and compared against the previous frame using per-channel MAD.</w:t>
      </w:r>
    </w:p>
    <w:p>
      <w:pPr>
        <w:pStyle w:val="ListBullet"/>
        <w:spacing w:before="20" w:after="20"/>
        <w:ind w:left="340"/>
      </w:pPr>
      <w:r>
        <w:rPr>
          <w:color w:val="444444"/>
          <w:sz w:val="20"/>
        </w:rPr>
        <w:t>If difference &lt; 15/255 (scene unchanged), scan is skipped — no API call.</w:t>
      </w:r>
    </w:p>
    <w:p>
      <w:pPr>
        <w:pStyle w:val="ListBullet"/>
        <w:spacing w:before="20" w:after="20"/>
        <w:ind w:left="340"/>
      </w:pPr>
      <w:r>
        <w:rPr>
          <w:color w:val="444444"/>
          <w:sz w:val="20"/>
        </w:rPr>
        <w:t>For a new scene: full-resolution JPEG is sent to /api/scan-product → Claude claude-sonnet-4-6.</w:t>
      </w:r>
    </w:p>
    <w:p>
      <w:pPr>
        <w:pStyle w:val="ListBullet"/>
        <w:spacing w:before="20" w:after="20"/>
        <w:ind w:left="340"/>
      </w:pPr>
      <w:r>
        <w:rPr>
          <w:color w:val="444444"/>
          <w:sz w:val="20"/>
        </w:rPr>
        <w:t>Claude returns up to three products: name, brand, description, optional imageUrl.</w:t>
      </w:r>
    </w:p>
    <w:p>
      <w:pPr>
        <w:pStyle w:val="ListBullet"/>
        <w:spacing w:before="20" w:after="20"/>
        <w:ind w:left="340"/>
      </w:pPr>
      <w:r>
        <w:rPr>
          <w:color w:val="444444"/>
          <w:sz w:val="20"/>
        </w:rPr>
        <w:t>Fingerprint reference is updated after each processed frame.</w:t>
      </w:r>
    </w:p>
    <w:p>
      <w:pPr>
        <w:spacing w:before="240" w:after="40"/>
      </w:pPr>
      <w:r>
        <w:rPr>
          <w:b/>
          <w:color w:val="111010"/>
          <w:sz w:val="22"/>
        </w:rPr>
        <w:t>3.4  Firestore Write</w:t>
      </w:r>
    </w:p>
    <w:p>
      <w:pPr>
        <w:spacing w:before="40" w:after="80"/>
      </w:pPr>
      <w:r>
        <w:rPr>
          <w:color w:val="444444"/>
          <w:sz w:val="20"/>
        </w:rPr>
        <w:t>Results from either path trigger a single atomic updateDoc call on the stream document:</w:t>
      </w:r>
    </w:p>
    <w:p>
      <w:pPr>
        <w:pStyle w:val="ListBullet"/>
        <w:spacing w:before="20" w:after="20"/>
        <w:ind w:left="340"/>
      </w:pPr>
      <w:r>
        <w:rPr>
          <w:color w:val="444444"/>
          <w:sz w:val="20"/>
        </w:rPr>
        <w:t>streams/{streamId}.featuredProducts — array of ProductInfo objects.</w:t>
      </w:r>
    </w:p>
    <w:p>
      <w:pPr>
        <w:pStyle w:val="ListBullet"/>
        <w:spacing w:before="20" w:after="20"/>
        <w:ind w:left="340"/>
      </w:pPr>
      <w:r>
        <w:rPr>
          <w:color w:val="444444"/>
          <w:sz w:val="20"/>
        </w:rPr>
        <w:t>streams/{streamId}.featuredAd — best-matching active ad, or null.</w:t>
      </w:r>
    </w:p>
    <w:p>
      <w:pPr>
        <w:spacing w:before="40" w:after="80"/>
        <w:ind w:left="340"/>
      </w:pPr>
      <w:r>
        <w:rPr>
          <w:color w:val="444444"/>
          <w:sz w:val="20"/>
        </w:rPr>
        <w:t>The Firestore onSnapshot listener in every active viewer session receives this update within milliseconds.</w:t>
      </w:r>
    </w:p>
    <w:p>
      <w:pPr>
        <w:spacing w:before="360" w:after="80"/>
      </w:pPr>
      <w:r>
        <w:rPr>
          <w:b/>
          <w:color w:val="FF7043"/>
          <w:sz w:val="28"/>
        </w:rPr>
        <w:t>4. Ad Matching Engine</w:t>
      </w:r>
    </w:p>
    <w:p>
      <w:pPr>
        <w:pBdr>
          <w:bottom w:val="single" w:sz="6" w:space="1" w:color="FF7043"/>
        </w:pBdr>
        <w:spacing w:after="0"/>
      </w:pPr>
    </w:p>
    <w:p>
      <w:pPr>
        <w:spacing w:before="240" w:after="40"/>
      </w:pPr>
      <w:r>
        <w:rPr>
          <w:b/>
          <w:color w:val="111010"/>
          <w:sz w:val="22"/>
        </w:rPr>
        <w:t>4.1  Tokenisation</w:t>
      </w:r>
    </w:p>
    <w:p>
      <w:pPr>
        <w:spacing w:before="40" w:after="80"/>
      </w:pPr>
      <w:r>
        <w:rPr>
          <w:color w:val="444444"/>
          <w:sz w:val="20"/>
        </w:rPr>
        <w:t>The detected product's brand and name fields are tokenised: lowercased, split on whitespace and commas, tokens shorter than two characters dropped, deduplicated, capped at ten.</w:t>
      </w:r>
    </w:p>
    <w:p>
      <w:pPr>
        <w:spacing w:before="40" w:after="80"/>
        <w:ind w:left="340"/>
      </w:pPr>
      <w:r>
        <w:rPr>
          <w:color w:val="444444"/>
          <w:sz w:val="20"/>
        </w:rPr>
        <w:t>Example: "Coca-Cola Zero Sugar 330ml" → [coca, cola, zero, sugar, 330ml]</w:t>
      </w:r>
    </w:p>
    <w:p>
      <w:pPr>
        <w:spacing w:before="240" w:after="40"/>
      </w:pPr>
      <w:r>
        <w:rPr>
          <w:b/>
          <w:color w:val="111010"/>
          <w:sz w:val="22"/>
        </w:rPr>
        <w:t>4.2  Category Taxonomy (v2 addition)</w:t>
      </w:r>
    </w:p>
    <w:p>
      <w:pPr>
        <w:spacing w:before="40" w:after="80"/>
      </w:pPr>
      <w:r>
        <w:rPr>
          <w:color w:val="444444"/>
          <w:sz w:val="20"/>
        </w:rPr>
        <w:t>In addition to keyword tokens, each product detection event is classified into a top-level category by the Claude Vision model (or inferred from barcode lookup data). Categories allow advertisers to buy broad reach without exhaustive keyword lists.</w:t>
      </w:r>
    </w:p>
    <w:tbl>
      <w:tblPr>
        <w:tblStyle w:val="TableGrid"/>
        <w:tblW w:type="auto" w:w="0"/>
        <w:jc w:val="left"/>
        <w:tblLook w:firstColumn="1" w:firstRow="1" w:lastColumn="0" w:lastRow="0" w:noHBand="0" w:noVBand="1" w:val="04A0"/>
      </w:tblPr>
      <w:tblGrid>
        <w:gridCol w:w="3135"/>
        <w:gridCol w:w="3135"/>
        <w:gridCol w:w="3135"/>
      </w:tblGrid>
      <w:tr>
        <w:tc>
          <w:tcPr>
            <w:tcW w:type="dxa" w:w="1584"/>
            <w:shd w:val="clear" w:color="auto" w:fill="FF7043"/>
            <w:vAlign w:val="center"/>
          </w:tcPr>
          <w:p>
            <w:pPr>
              <w:jc w:val="left"/>
            </w:pPr>
            <w:r>
              <w:rPr>
                <w:b/>
                <w:color w:val="FFFFFF"/>
                <w:sz w:val="18"/>
              </w:rPr>
              <w:t>Category</w:t>
            </w:r>
          </w:p>
        </w:tc>
        <w:tc>
          <w:tcPr>
            <w:tcW w:type="dxa" w:w="3168"/>
            <w:shd w:val="clear" w:color="auto" w:fill="FF7043"/>
            <w:vAlign w:val="center"/>
          </w:tcPr>
          <w:p>
            <w:pPr>
              <w:jc w:val="left"/>
            </w:pPr>
            <w:r>
              <w:rPr>
                <w:b/>
                <w:color w:val="FFFFFF"/>
                <w:sz w:val="18"/>
              </w:rPr>
              <w:t>Example products</w:t>
            </w:r>
          </w:p>
        </w:tc>
        <w:tc>
          <w:tcPr>
            <w:tcW w:type="dxa" w:w="3888"/>
            <w:shd w:val="clear" w:color="auto" w:fill="FF7043"/>
            <w:vAlign w:val="center"/>
          </w:tcPr>
          <w:p>
            <w:pPr>
              <w:jc w:val="left"/>
            </w:pPr>
            <w:r>
              <w:rPr>
                <w:b/>
                <w:color w:val="FFFFFF"/>
                <w:sz w:val="18"/>
              </w:rPr>
              <w:t>Typical advertisers</w:t>
            </w:r>
          </w:p>
        </w:tc>
      </w:tr>
      <w:tr>
        <w:tc>
          <w:tcPr>
            <w:tcW w:type="dxa" w:w="1584"/>
            <w:shd w:val="clear" w:color="auto" w:fill="FFF5F2"/>
            <w:vAlign w:val="center"/>
          </w:tcPr>
          <w:p>
            <w:r>
              <w:rPr>
                <w:color w:val="444444"/>
                <w:sz w:val="18"/>
              </w:rPr>
              <w:t>beauty</w:t>
            </w:r>
          </w:p>
        </w:tc>
        <w:tc>
          <w:tcPr>
            <w:tcW w:type="dxa" w:w="3168"/>
            <w:shd w:val="clear" w:color="auto" w:fill="FFF5F2"/>
            <w:vAlign w:val="center"/>
          </w:tcPr>
          <w:p>
            <w:r>
              <w:rPr>
                <w:color w:val="444444"/>
                <w:sz w:val="18"/>
              </w:rPr>
              <w:t>Skincare, makeup, haircare</w:t>
            </w:r>
          </w:p>
        </w:tc>
        <w:tc>
          <w:tcPr>
            <w:tcW w:type="dxa" w:w="3888"/>
            <w:shd w:val="clear" w:color="auto" w:fill="FFF5F2"/>
            <w:vAlign w:val="center"/>
          </w:tcPr>
          <w:p>
            <w:r>
              <w:rPr>
                <w:color w:val="444444"/>
                <w:sz w:val="18"/>
              </w:rPr>
              <w:t>L'Oréal, Fenty, Glossier</w:t>
            </w:r>
          </w:p>
        </w:tc>
      </w:tr>
      <w:tr>
        <w:tc>
          <w:tcPr>
            <w:tcW w:type="dxa" w:w="1584"/>
            <w:shd w:val="clear" w:color="auto" w:fill="FFFFFF"/>
            <w:vAlign w:val="center"/>
          </w:tcPr>
          <w:p>
            <w:r>
              <w:rPr>
                <w:color w:val="444444"/>
                <w:sz w:val="18"/>
              </w:rPr>
              <w:t>food</w:t>
            </w:r>
          </w:p>
        </w:tc>
        <w:tc>
          <w:tcPr>
            <w:tcW w:type="dxa" w:w="3168"/>
            <w:shd w:val="clear" w:color="auto" w:fill="FFFFFF"/>
            <w:vAlign w:val="center"/>
          </w:tcPr>
          <w:p>
            <w:r>
              <w:rPr>
                <w:color w:val="444444"/>
                <w:sz w:val="18"/>
              </w:rPr>
              <w:t>Packaged food, beverages, snacks</w:t>
            </w:r>
          </w:p>
        </w:tc>
        <w:tc>
          <w:tcPr>
            <w:tcW w:type="dxa" w:w="3888"/>
            <w:shd w:val="clear" w:color="auto" w:fill="FFFFFF"/>
            <w:vAlign w:val="center"/>
          </w:tcPr>
          <w:p>
            <w:r>
              <w:rPr>
                <w:color w:val="444444"/>
                <w:sz w:val="18"/>
              </w:rPr>
              <w:t>Nestlé, Coca-Cola, Oatly</w:t>
            </w:r>
          </w:p>
        </w:tc>
      </w:tr>
      <w:tr>
        <w:tc>
          <w:tcPr>
            <w:tcW w:type="dxa" w:w="1584"/>
            <w:shd w:val="clear" w:color="auto" w:fill="FFF5F2"/>
            <w:vAlign w:val="center"/>
          </w:tcPr>
          <w:p>
            <w:r>
              <w:rPr>
                <w:color w:val="444444"/>
                <w:sz w:val="18"/>
              </w:rPr>
              <w:t>tech</w:t>
            </w:r>
          </w:p>
        </w:tc>
        <w:tc>
          <w:tcPr>
            <w:tcW w:type="dxa" w:w="3168"/>
            <w:shd w:val="clear" w:color="auto" w:fill="FFF5F2"/>
            <w:vAlign w:val="center"/>
          </w:tcPr>
          <w:p>
            <w:r>
              <w:rPr>
                <w:color w:val="444444"/>
                <w:sz w:val="18"/>
              </w:rPr>
              <w:t>Phones, laptops, peripherals</w:t>
            </w:r>
          </w:p>
        </w:tc>
        <w:tc>
          <w:tcPr>
            <w:tcW w:type="dxa" w:w="3888"/>
            <w:shd w:val="clear" w:color="auto" w:fill="FFF5F2"/>
            <w:vAlign w:val="center"/>
          </w:tcPr>
          <w:p>
            <w:r>
              <w:rPr>
                <w:color w:val="444444"/>
                <w:sz w:val="18"/>
              </w:rPr>
              <w:t>Samsung, Logitech, Anker</w:t>
            </w:r>
          </w:p>
        </w:tc>
      </w:tr>
      <w:tr>
        <w:tc>
          <w:tcPr>
            <w:tcW w:type="dxa" w:w="1584"/>
            <w:shd w:val="clear" w:color="auto" w:fill="FFFFFF"/>
            <w:vAlign w:val="center"/>
          </w:tcPr>
          <w:p>
            <w:r>
              <w:rPr>
                <w:color w:val="444444"/>
                <w:sz w:val="18"/>
              </w:rPr>
              <w:t>fitness</w:t>
            </w:r>
          </w:p>
        </w:tc>
        <w:tc>
          <w:tcPr>
            <w:tcW w:type="dxa" w:w="3168"/>
            <w:shd w:val="clear" w:color="auto" w:fill="FFFFFF"/>
            <w:vAlign w:val="center"/>
          </w:tcPr>
          <w:p>
            <w:r>
              <w:rPr>
                <w:color w:val="444444"/>
                <w:sz w:val="18"/>
              </w:rPr>
              <w:t>Trainers, supplements, equipment</w:t>
            </w:r>
          </w:p>
        </w:tc>
        <w:tc>
          <w:tcPr>
            <w:tcW w:type="dxa" w:w="3888"/>
            <w:shd w:val="clear" w:color="auto" w:fill="FFFFFF"/>
            <w:vAlign w:val="center"/>
          </w:tcPr>
          <w:p>
            <w:r>
              <w:rPr>
                <w:color w:val="444444"/>
                <w:sz w:val="18"/>
              </w:rPr>
              <w:t>Nike, Myprotein, Garmin</w:t>
            </w:r>
          </w:p>
        </w:tc>
      </w:tr>
      <w:tr>
        <w:tc>
          <w:tcPr>
            <w:tcW w:type="dxa" w:w="1584"/>
            <w:shd w:val="clear" w:color="auto" w:fill="FFF5F2"/>
            <w:vAlign w:val="center"/>
          </w:tcPr>
          <w:p>
            <w:r>
              <w:rPr>
                <w:color w:val="444444"/>
                <w:sz w:val="18"/>
              </w:rPr>
              <w:t>fashion</w:t>
            </w:r>
          </w:p>
        </w:tc>
        <w:tc>
          <w:tcPr>
            <w:tcW w:type="dxa" w:w="3168"/>
            <w:shd w:val="clear" w:color="auto" w:fill="FFF5F2"/>
            <w:vAlign w:val="center"/>
          </w:tcPr>
          <w:p>
            <w:r>
              <w:rPr>
                <w:color w:val="444444"/>
                <w:sz w:val="18"/>
              </w:rPr>
              <w:t>Apparel, accessories, footwear</w:t>
            </w:r>
          </w:p>
        </w:tc>
        <w:tc>
          <w:tcPr>
            <w:tcW w:type="dxa" w:w="3888"/>
            <w:shd w:val="clear" w:color="auto" w:fill="FFF5F2"/>
            <w:vAlign w:val="center"/>
          </w:tcPr>
          <w:p>
            <w:r>
              <w:rPr>
                <w:color w:val="444444"/>
                <w:sz w:val="18"/>
              </w:rPr>
              <w:t>ASOS, Zara, New Balance</w:t>
            </w:r>
          </w:p>
        </w:tc>
      </w:tr>
      <w:tr>
        <w:tc>
          <w:tcPr>
            <w:tcW w:type="dxa" w:w="1584"/>
            <w:shd w:val="clear" w:color="auto" w:fill="FFFFFF"/>
            <w:vAlign w:val="center"/>
          </w:tcPr>
          <w:p>
            <w:r>
              <w:rPr>
                <w:color w:val="444444"/>
                <w:sz w:val="18"/>
              </w:rPr>
              <w:t>home</w:t>
            </w:r>
          </w:p>
        </w:tc>
        <w:tc>
          <w:tcPr>
            <w:tcW w:type="dxa" w:w="3168"/>
            <w:shd w:val="clear" w:color="auto" w:fill="FFFFFF"/>
            <w:vAlign w:val="center"/>
          </w:tcPr>
          <w:p>
            <w:r>
              <w:rPr>
                <w:color w:val="444444"/>
                <w:sz w:val="18"/>
              </w:rPr>
              <w:t>Appliances, décor, cleaning</w:t>
            </w:r>
          </w:p>
        </w:tc>
        <w:tc>
          <w:tcPr>
            <w:tcW w:type="dxa" w:w="3888"/>
            <w:shd w:val="clear" w:color="auto" w:fill="FFFFFF"/>
            <w:vAlign w:val="center"/>
          </w:tcPr>
          <w:p>
            <w:r>
              <w:rPr>
                <w:color w:val="444444"/>
                <w:sz w:val="18"/>
              </w:rPr>
              <w:t>Dyson, Method, IKEA</w:t>
            </w:r>
          </w:p>
        </w:tc>
      </w:tr>
      <w:tr>
        <w:tc>
          <w:tcPr>
            <w:tcW w:type="dxa" w:w="1584"/>
            <w:shd w:val="clear" w:color="auto" w:fill="FFF5F2"/>
            <w:vAlign w:val="center"/>
          </w:tcPr>
          <w:p>
            <w:r>
              <w:rPr>
                <w:color w:val="444444"/>
                <w:sz w:val="18"/>
              </w:rPr>
              <w:t>other</w:t>
            </w:r>
          </w:p>
        </w:tc>
        <w:tc>
          <w:tcPr>
            <w:tcW w:type="dxa" w:w="3168"/>
            <w:shd w:val="clear" w:color="auto" w:fill="FFF5F2"/>
            <w:vAlign w:val="center"/>
          </w:tcPr>
          <w:p>
            <w:r>
              <w:rPr>
                <w:color w:val="444444"/>
                <w:sz w:val="18"/>
              </w:rPr>
              <w:t>Everything else</w:t>
            </w:r>
          </w:p>
        </w:tc>
        <w:tc>
          <w:tcPr>
            <w:tcW w:type="dxa" w:w="3888"/>
            <w:shd w:val="clear" w:color="auto" w:fill="FFF5F2"/>
            <w:vAlign w:val="center"/>
          </w:tcPr>
          <w:p>
            <w:r>
              <w:rPr>
                <w:color w:val="444444"/>
                <w:sz w:val="18"/>
              </w:rPr>
              <w:t>General / affiliate fallback</w:t>
            </w:r>
          </w:p>
        </w:tc>
      </w:tr>
    </w:tbl>
    <w:p>
      <w:pPr>
        <w:spacing w:after="80"/>
      </w:pPr>
    </w:p>
    <w:p>
      <w:pPr>
        <w:spacing w:before="240" w:after="40"/>
      </w:pPr>
      <w:r>
        <w:rPr>
          <w:b/>
          <w:color w:val="111010"/>
          <w:sz w:val="22"/>
        </w:rPr>
        <w:t>4.3  Firestore Query &amp; Scoring</w:t>
      </w:r>
    </w:p>
    <w:p>
      <w:pPr>
        <w:pStyle w:val="ListBullet"/>
        <w:spacing w:before="20" w:after="20"/>
        <w:ind w:left="340"/>
      </w:pPr>
      <w:r>
        <w:rPr>
          <w:color w:val="444444"/>
          <w:sz w:val="20"/>
        </w:rPr>
        <w:t>Filter: status == "active"</w:t>
      </w:r>
    </w:p>
    <w:p>
      <w:pPr>
        <w:pStyle w:val="ListBullet"/>
        <w:spacing w:before="20" w:after="20"/>
        <w:ind w:left="340"/>
      </w:pPr>
      <w:r>
        <w:rPr>
          <w:color w:val="444444"/>
          <w:sz w:val="20"/>
        </w:rPr>
        <w:t>Filter: keywords array-contains-any [token list]  OR  categories array-contains category</w:t>
      </w:r>
    </w:p>
    <w:p>
      <w:pPr>
        <w:pStyle w:val="ListBullet"/>
        <w:spacing w:before="20" w:after="20"/>
        <w:ind w:left="340"/>
      </w:pPr>
      <w:r>
        <w:rPr>
          <w:color w:val="444444"/>
          <w:sz w:val="20"/>
        </w:rPr>
        <w:t>All matching ads are scored by keyword overlap count.</w:t>
      </w:r>
    </w:p>
    <w:p>
      <w:pPr>
        <w:pStyle w:val="ListBullet"/>
        <w:spacing w:before="20" w:after="20"/>
        <w:ind w:left="340"/>
      </w:pPr>
      <w:r>
        <w:rPr>
          <w:color w:val="444444"/>
          <w:sz w:val="20"/>
        </w:rPr>
        <w:t>Highest-scoring ad wins; ties broken by recency.</w:t>
      </w:r>
    </w:p>
    <w:p>
      <w:pPr>
        <w:pStyle w:val="ListBullet"/>
        <w:spacing w:before="20" w:after="20"/>
        <w:ind w:left="340"/>
      </w:pPr>
      <w:r>
        <w:rPr>
          <w:color w:val="444444"/>
          <w:sz w:val="20"/>
        </w:rPr>
        <w:t>Winner written to streams/{id}.featuredAd.</w:t>
      </w:r>
    </w:p>
    <w:tbl>
      <w:tblPr>
        <w:tblW w:type="auto" w:w="0"/>
        <w:jc w:val="left"/>
        <w:tblLook w:firstColumn="1" w:firstRow="1" w:lastColumn="0" w:lastRow="0" w:noHBand="0" w:noVBand="1" w:val="04A0"/>
      </w:tblPr>
      <w:tblGrid>
        <w:gridCol w:w="9406"/>
      </w:tblGrid>
      <w:tr>
        <w:tc>
          <w:tcPr>
            <w:tcW w:type="dxa" w:w="8640"/>
            <w:shd w:val="clear" w:color="auto" w:fill="FFF5F2"/>
          </w:tcPr>
          <w:p>
            <w:pPr>
              <w:spacing w:before="80" w:after="80"/>
              <w:ind w:left="170"/>
            </w:pPr>
            <w:r>
              <w:rPr>
                <w:b/>
                <w:color w:val="FF7043"/>
                <w:sz w:val="20"/>
              </w:rPr>
              <w:t xml:space="preserve">Known limitation:  </w:t>
            </w:r>
            <w:r>
              <w:rPr>
                <w:color w:val="444444"/>
                <w:sz w:val="20"/>
              </w:rPr>
              <w:t>Matching is lexical, not semantic. "Running shoes" will not match an ad keyworded "trainers". Phase 2 roadmap item: vector embedding similarity to replace pure keyword overlap.</w:t>
            </w:r>
          </w:p>
        </w:tc>
      </w:tr>
    </w:tbl>
    <w:p>
      <w:pPr>
        <w:spacing w:after="40"/>
      </w:pPr>
    </w:p>
    <w:p>
      <w:pPr>
        <w:spacing w:before="360" w:after="80"/>
      </w:pPr>
      <w:r>
        <w:rPr>
          <w:b/>
          <w:color w:val="FF7043"/>
          <w:sz w:val="28"/>
        </w:rPr>
        <w:t>5. Affiliate Fallback</w:t>
      </w:r>
    </w:p>
    <w:p>
      <w:pPr>
        <w:pBdr>
          <w:bottom w:val="single" w:sz="6" w:space="1" w:color="FF7043"/>
        </w:pBdr>
        <w:spacing w:after="0"/>
      </w:pPr>
    </w:p>
    <w:p>
      <w:pPr>
        <w:spacing w:before="40" w:after="80"/>
      </w:pPr>
      <w:r>
        <w:rPr>
          <w:color w:val="444444"/>
          <w:sz w:val="20"/>
        </w:rPr>
        <w:t>The affiliate layer ensures every detected product is commercially actionable even when no direct advertiser has purchased a matching slot. This is critical during the platform's growth phase when paid inventory is sparse.</w:t>
      </w:r>
    </w:p>
    <w:p>
      <w:pPr>
        <w:spacing w:before="240" w:after="40"/>
      </w:pPr>
      <w:r>
        <w:rPr>
          <w:b/>
          <w:color w:val="111010"/>
          <w:sz w:val="22"/>
        </w:rPr>
        <w:t>5.1  Mechanism</w:t>
      </w:r>
    </w:p>
    <w:p>
      <w:pPr>
        <w:spacing w:before="40" w:after="80"/>
      </w:pPr>
      <w:r>
        <w:rPr>
          <w:color w:val="444444"/>
          <w:sz w:val="20"/>
        </w:rPr>
        <w:t>When featuredAd is null, the ProductDrawer renders an AffiliateCard instead. The card links to an Amazon search URL constructed from the first detected product's brand and name, with the platform's Amazon Associates tag appended:</w:t>
      </w:r>
    </w:p>
    <w:p>
      <w:pPr>
        <w:spacing w:before="40" w:after="80"/>
        <w:ind w:left="340"/>
      </w:pPr>
      <w:r>
        <w:rPr>
          <w:color w:val="444444"/>
          <w:sz w:val="20"/>
        </w:rPr>
        <w:t>https://www.amazon.com/s?k={query}&amp;tag={AMAZON_AFFILIATE_TAG}</w:t>
      </w:r>
    </w:p>
    <w:p>
      <w:pPr>
        <w:spacing w:before="40" w:after="80"/>
      </w:pPr>
      <w:r>
        <w:rPr>
          <w:color w:val="444444"/>
          <w:sz w:val="20"/>
        </w:rPr>
        <w:t>Individual product-row "Buy ↗" links are also affiliate-tagged, so every tap is a potential commission event regardless of which top-slot card is shown.</w:t>
      </w:r>
    </w:p>
    <w:p>
      <w:pPr>
        <w:spacing w:before="240" w:after="40"/>
      </w:pPr>
      <w:r>
        <w:rPr>
          <w:b/>
          <w:color w:val="111010"/>
          <w:sz w:val="22"/>
        </w:rPr>
        <w:t>5.2  Precedence Hierarchy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val="clear" w:color="auto" w:fill="FF7043"/>
            <w:vAlign w:val="center"/>
          </w:tcPr>
          <w:p>
            <w:pPr>
              <w:jc w:val="left"/>
            </w:pPr>
            <w:r>
              <w:rPr>
                <w:b/>
                <w:color w:val="FFFFFF"/>
                <w:sz w:val="18"/>
              </w:rPr>
              <w:t>Priority</w:t>
            </w:r>
          </w:p>
        </w:tc>
        <w:tc>
          <w:tcPr>
            <w:tcW w:type="dxa" w:w="2880"/>
            <w:shd w:val="clear" w:color="auto" w:fill="FF7043"/>
            <w:vAlign w:val="center"/>
          </w:tcPr>
          <w:p>
            <w:pPr>
              <w:jc w:val="left"/>
            </w:pPr>
            <w:r>
              <w:rPr>
                <w:b/>
                <w:color w:val="FFFFFF"/>
                <w:sz w:val="18"/>
              </w:rPr>
              <w:t>Slot</w:t>
            </w:r>
          </w:p>
        </w:tc>
        <w:tc>
          <w:tcPr>
            <w:tcW w:type="dxa" w:w="2304"/>
            <w:shd w:val="clear" w:color="auto" w:fill="FF7043"/>
            <w:vAlign w:val="center"/>
          </w:tcPr>
          <w:p>
            <w:pPr>
              <w:jc w:val="left"/>
            </w:pPr>
            <w:r>
              <w:rPr>
                <w:b/>
                <w:color w:val="FFFFFF"/>
                <w:sz w:val="18"/>
              </w:rPr>
              <w:t>Revenue type</w:t>
            </w:r>
          </w:p>
        </w:tc>
        <w:tc>
          <w:tcPr>
            <w:tcW w:type="dxa" w:w="2160"/>
            <w:shd w:val="clear" w:color="auto" w:fill="FF7043"/>
            <w:vAlign w:val="center"/>
          </w:tcPr>
          <w:p>
            <w:pPr>
              <w:jc w:val="left"/>
            </w:pPr>
            <w:r>
              <w:rPr>
                <w:b/>
                <w:color w:val="FFFFFF"/>
                <w:sz w:val="18"/>
              </w:rPr>
              <w:t>Typical value</w:t>
            </w:r>
          </w:p>
        </w:tc>
      </w:tr>
      <w:tr>
        <w:tc>
          <w:tcPr>
            <w:tcW w:type="dxa" w:w="1728"/>
            <w:shd w:val="clear" w:color="auto" w:fill="FFF5F2"/>
            <w:vAlign w:val="center"/>
          </w:tcPr>
          <w:p>
            <w:r>
              <w:rPr>
                <w:color w:val="444444"/>
                <w:sz w:val="18"/>
              </w:rPr>
              <w:t>1 (highest)</w:t>
            </w:r>
          </w:p>
        </w:tc>
        <w:tc>
          <w:tcPr>
            <w:tcW w:type="dxa" w:w="2880"/>
            <w:shd w:val="clear" w:color="auto" w:fill="FFF5F2"/>
            <w:vAlign w:val="center"/>
          </w:tcPr>
          <w:p>
            <w:r>
              <w:rPr>
                <w:color w:val="444444"/>
                <w:sz w:val="18"/>
              </w:rPr>
              <w:t>SponsoredCard (paid ad)</w:t>
            </w:r>
          </w:p>
        </w:tc>
        <w:tc>
          <w:tcPr>
            <w:tcW w:type="dxa" w:w="2304"/>
            <w:shd w:val="clear" w:color="auto" w:fill="FFF5F2"/>
            <w:vAlign w:val="center"/>
          </w:tcPr>
          <w:p>
            <w:r>
              <w:rPr>
                <w:color w:val="444444"/>
                <w:sz w:val="18"/>
              </w:rPr>
              <w:t>Direct CPM or CPC</w:t>
            </w:r>
          </w:p>
        </w:tc>
        <w:tc>
          <w:tcPr>
            <w:tcW w:type="dxa" w:w="2160"/>
            <w:shd w:val="clear" w:color="auto" w:fill="FFF5F2"/>
            <w:vAlign w:val="center"/>
          </w:tcPr>
          <w:p>
            <w:r>
              <w:rPr>
                <w:color w:val="444444"/>
                <w:sz w:val="18"/>
              </w:rPr>
              <w:t>$15–$40 CPM</w:t>
            </w:r>
          </w:p>
        </w:tc>
      </w:tr>
      <w:tr>
        <w:tc>
          <w:tcPr>
            <w:tcW w:type="dxa" w:w="1728"/>
            <w:shd w:val="clear" w:color="auto" w:fill="FFFFFF"/>
            <w:vAlign w:val="center"/>
          </w:tcPr>
          <w:p>
            <w:r>
              <w:rPr>
                <w:color w:val="444444"/>
                <w:sz w:val="18"/>
              </w:rPr>
              <w:t>2</w:t>
            </w:r>
          </w:p>
        </w:tc>
        <w:tc>
          <w:tcPr>
            <w:tcW w:type="dxa" w:w="2880"/>
            <w:shd w:val="clear" w:color="auto" w:fill="FFFFFF"/>
            <w:vAlign w:val="center"/>
          </w:tcPr>
          <w:p>
            <w:r>
              <w:rPr>
                <w:color w:val="444444"/>
                <w:sz w:val="18"/>
              </w:rPr>
              <w:t>AffiliateCard (Amazon)</w:t>
            </w:r>
          </w:p>
        </w:tc>
        <w:tc>
          <w:tcPr>
            <w:tcW w:type="dxa" w:w="2304"/>
            <w:shd w:val="clear" w:color="auto" w:fill="FFFFFF"/>
            <w:vAlign w:val="center"/>
          </w:tcPr>
          <w:p>
            <w:r>
              <w:rPr>
                <w:color w:val="444444"/>
                <w:sz w:val="18"/>
              </w:rPr>
              <w:t>Commission ~5–8%</w:t>
            </w:r>
          </w:p>
        </w:tc>
        <w:tc>
          <w:tcPr>
            <w:tcW w:type="dxa" w:w="2160"/>
            <w:shd w:val="clear" w:color="auto" w:fill="FFFFFF"/>
            <w:vAlign w:val="center"/>
          </w:tcPr>
          <w:p>
            <w:r>
              <w:rPr>
                <w:color w:val="444444"/>
                <w:sz w:val="18"/>
              </w:rPr>
              <w:t>Variable</w:t>
            </w:r>
          </w:p>
        </w:tc>
      </w:tr>
      <w:tr>
        <w:tc>
          <w:tcPr>
            <w:tcW w:type="dxa" w:w="1728"/>
            <w:shd w:val="clear" w:color="auto" w:fill="FFF5F2"/>
            <w:vAlign w:val="center"/>
          </w:tcPr>
          <w:p>
            <w:r>
              <w:rPr>
                <w:color w:val="444444"/>
                <w:sz w:val="18"/>
              </w:rPr>
              <w:t>3 (always)</w:t>
            </w:r>
          </w:p>
        </w:tc>
        <w:tc>
          <w:tcPr>
            <w:tcW w:type="dxa" w:w="2880"/>
            <w:shd w:val="clear" w:color="auto" w:fill="FFF5F2"/>
            <w:vAlign w:val="center"/>
          </w:tcPr>
          <w:p>
            <w:r>
              <w:rPr>
                <w:color w:val="444444"/>
                <w:sz w:val="18"/>
              </w:rPr>
              <w:t>Product row Buy ↗ links</w:t>
            </w:r>
          </w:p>
        </w:tc>
        <w:tc>
          <w:tcPr>
            <w:tcW w:type="dxa" w:w="2304"/>
            <w:shd w:val="clear" w:color="auto" w:fill="FFF5F2"/>
            <w:vAlign w:val="center"/>
          </w:tcPr>
          <w:p>
            <w:r>
              <w:rPr>
                <w:color w:val="444444"/>
                <w:sz w:val="18"/>
              </w:rPr>
              <w:t>Commission ~5–8%</w:t>
            </w:r>
          </w:p>
        </w:tc>
        <w:tc>
          <w:tcPr>
            <w:tcW w:type="dxa" w:w="2160"/>
            <w:shd w:val="clear" w:color="auto" w:fill="FFF5F2"/>
            <w:vAlign w:val="center"/>
          </w:tcPr>
          <w:p>
            <w:r>
              <w:rPr>
                <w:color w:val="444444"/>
                <w:sz w:val="18"/>
              </w:rPr>
              <w:t>Variable</w:t>
            </w:r>
          </w:p>
        </w:tc>
      </w:tr>
    </w:tbl>
    <w:p>
      <w:pPr>
        <w:spacing w:after="80"/>
      </w:pPr>
    </w:p>
    <w:p>
      <w:pPr>
        <w:spacing w:before="240" w:after="40"/>
      </w:pPr>
      <w:r>
        <w:rPr>
          <w:b/>
          <w:color w:val="111010"/>
          <w:sz w:val="22"/>
        </w:rPr>
        <w:t>5.3  Affiliate Network Expansion (Roadmap)</w:t>
      </w:r>
    </w:p>
    <w:p>
      <w:pPr>
        <w:pStyle w:val="ListBullet"/>
        <w:spacing w:before="20" w:after="20"/>
        <w:ind w:left="340"/>
      </w:pPr>
      <w:r>
        <w:rPr>
          <w:color w:val="444444"/>
          <w:sz w:val="20"/>
        </w:rPr>
        <w:t>Phase 2: Add ShareASale and CJ Affiliate as fallback networks alongside Amazon.</w:t>
      </w:r>
    </w:p>
    <w:p>
      <w:pPr>
        <w:pStyle w:val="ListBullet"/>
        <w:spacing w:before="20" w:after="20"/>
        <w:ind w:left="340"/>
      </w:pPr>
      <w:r>
        <w:rPr>
          <w:color w:val="444444"/>
          <w:sz w:val="20"/>
        </w:rPr>
        <w:t>Phase 2: Category-based routing — beauty products → Sephora affiliate; tech → Best Buy affiliate.</w:t>
      </w:r>
    </w:p>
    <w:p>
      <w:pPr>
        <w:pStyle w:val="ListBullet"/>
        <w:spacing w:before="20" w:after="20"/>
        <w:ind w:left="340"/>
      </w:pPr>
      <w:r>
        <w:rPr>
          <w:color w:val="444444"/>
          <w:sz w:val="20"/>
        </w:rPr>
        <w:t>Phase 3: Server-side redirect via /api/affiliate to log affiliate clicks before forwarding.</w:t>
      </w:r>
    </w:p>
    <w:p>
      <w:pPr>
        <w:spacing w:before="360" w:after="80"/>
      </w:pPr>
      <w:r>
        <w:rPr>
          <w:b/>
          <w:color w:val="FF7043"/>
          <w:sz w:val="28"/>
        </w:rPr>
        <w:t>6. Viewer Experience</w:t>
      </w:r>
    </w:p>
    <w:p>
      <w:pPr>
        <w:pBdr>
          <w:bottom w:val="single" w:sz="6" w:space="1" w:color="FF7043"/>
        </w:pBdr>
        <w:spacing w:after="0"/>
      </w:pPr>
    </w:p>
    <w:p>
      <w:pPr>
        <w:spacing w:before="40" w:after="80"/>
      </w:pPr>
      <w:r>
        <w:rPr>
          <w:color w:val="444444"/>
          <w:sz w:val="20"/>
        </w:rPr>
        <w:t>The commerce surface is designed to be non-intrusive. The stream is never paused, overlaid with full-screen interstitials, or interrupted. Viewer interaction is always opt-in.</w:t>
      </w:r>
    </w:p>
    <w:p>
      <w:pPr>
        <w:spacing w:before="240" w:after="40"/>
      </w:pPr>
      <w:r>
        <w:rPr>
          <w:b/>
          <w:color w:val="111010"/>
          <w:sz w:val="22"/>
        </w:rPr>
        <w:t>6.1  ProductDrawer States</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FF7043"/>
            <w:vAlign w:val="center"/>
          </w:tcPr>
          <w:p>
            <w:pPr>
              <w:jc w:val="left"/>
            </w:pPr>
            <w:r>
              <w:rPr>
                <w:b/>
                <w:color w:val="FFFFFF"/>
                <w:sz w:val="18"/>
              </w:rPr>
              <w:t>State</w:t>
            </w:r>
          </w:p>
        </w:tc>
        <w:tc>
          <w:tcPr>
            <w:tcW w:type="dxa" w:w="3168"/>
            <w:shd w:val="clear" w:color="auto" w:fill="FF7043"/>
            <w:vAlign w:val="center"/>
          </w:tcPr>
          <w:p>
            <w:pPr>
              <w:jc w:val="left"/>
            </w:pPr>
            <w:r>
              <w:rPr>
                <w:b/>
                <w:color w:val="FFFFFF"/>
                <w:sz w:val="18"/>
              </w:rPr>
              <w:t>Trigger</w:t>
            </w:r>
          </w:p>
        </w:tc>
        <w:tc>
          <w:tcPr>
            <w:tcW w:type="dxa" w:w="3744"/>
            <w:shd w:val="clear" w:color="auto" w:fill="FF7043"/>
            <w:vAlign w:val="center"/>
          </w:tcPr>
          <w:p>
            <w:pPr>
              <w:jc w:val="left"/>
            </w:pPr>
            <w:r>
              <w:rPr>
                <w:b/>
                <w:color w:val="FFFFFF"/>
                <w:sz w:val="18"/>
              </w:rPr>
              <w:t>Visual</w:t>
            </w:r>
          </w:p>
        </w:tc>
      </w:tr>
      <w:tr>
        <w:tc>
          <w:tcPr>
            <w:tcW w:type="dxa" w:w="1728"/>
            <w:shd w:val="clear" w:color="auto" w:fill="FFF5F2"/>
            <w:vAlign w:val="center"/>
          </w:tcPr>
          <w:p>
            <w:r>
              <w:rPr>
                <w:color w:val="444444"/>
                <w:sz w:val="18"/>
              </w:rPr>
              <w:t>Idle</w:t>
            </w:r>
          </w:p>
        </w:tc>
        <w:tc>
          <w:tcPr>
            <w:tcW w:type="dxa" w:w="3168"/>
            <w:shd w:val="clear" w:color="auto" w:fill="FFF5F2"/>
            <w:vAlign w:val="center"/>
          </w:tcPr>
          <w:p>
            <w:r>
              <w:rPr>
                <w:color w:val="444444"/>
                <w:sz w:val="18"/>
              </w:rPr>
              <w:t>No products detected</w:t>
            </w:r>
          </w:p>
        </w:tc>
        <w:tc>
          <w:tcPr>
            <w:tcW w:type="dxa" w:w="3744"/>
            <w:shd w:val="clear" w:color="auto" w:fill="FFF5F2"/>
            <w:vAlign w:val="center"/>
          </w:tcPr>
          <w:p>
            <w:r>
              <w:rPr>
                <w:color w:val="444444"/>
                <w:sz w:val="18"/>
              </w:rPr>
              <w:t>No icon shown</w:t>
            </w:r>
          </w:p>
        </w:tc>
      </w:tr>
      <w:tr>
        <w:tc>
          <w:tcPr>
            <w:tcW w:type="dxa" w:w="1728"/>
            <w:shd w:val="clear" w:color="auto" w:fill="FFFFFF"/>
            <w:vAlign w:val="center"/>
          </w:tcPr>
          <w:p>
            <w:r>
              <w:rPr>
                <w:color w:val="444444"/>
                <w:sz w:val="18"/>
              </w:rPr>
              <w:t>Pulse</w:t>
            </w:r>
          </w:p>
        </w:tc>
        <w:tc>
          <w:tcPr>
            <w:tcW w:type="dxa" w:w="3168"/>
            <w:shd w:val="clear" w:color="auto" w:fill="FFFFFF"/>
            <w:vAlign w:val="center"/>
          </w:tcPr>
          <w:p>
            <w:r>
              <w:rPr>
                <w:color w:val="444444"/>
                <w:sz w:val="18"/>
              </w:rPr>
              <w:t>New detection event</w:t>
            </w:r>
          </w:p>
        </w:tc>
        <w:tc>
          <w:tcPr>
            <w:tcW w:type="dxa" w:w="3744"/>
            <w:shd w:val="clear" w:color="auto" w:fill="FFFFFF"/>
            <w:vAlign w:val="center"/>
          </w:tcPr>
          <w:p>
            <w:r>
              <w:rPr>
                <w:color w:val="444444"/>
                <w:sz w:val="18"/>
              </w:rPr>
              <w:t>🛍 icon scales 1.25× for 2 s then normalises</w:t>
            </w:r>
          </w:p>
        </w:tc>
      </w:tr>
      <w:tr>
        <w:tc>
          <w:tcPr>
            <w:tcW w:type="dxa" w:w="1728"/>
            <w:shd w:val="clear" w:color="auto" w:fill="FFF5F2"/>
            <w:vAlign w:val="center"/>
          </w:tcPr>
          <w:p>
            <w:r>
              <w:rPr>
                <w:color w:val="444444"/>
                <w:sz w:val="18"/>
              </w:rPr>
              <w:t>Open</w:t>
            </w:r>
          </w:p>
        </w:tc>
        <w:tc>
          <w:tcPr>
            <w:tcW w:type="dxa" w:w="3168"/>
            <w:shd w:val="clear" w:color="auto" w:fill="FFF5F2"/>
            <w:vAlign w:val="center"/>
          </w:tcPr>
          <w:p>
            <w:r>
              <w:rPr>
                <w:color w:val="444444"/>
                <w:sz w:val="18"/>
              </w:rPr>
              <w:t>Viewer taps icon</w:t>
            </w:r>
          </w:p>
        </w:tc>
        <w:tc>
          <w:tcPr>
            <w:tcW w:type="dxa" w:w="3744"/>
            <w:shd w:val="clear" w:color="auto" w:fill="FFF5F2"/>
            <w:vAlign w:val="center"/>
          </w:tcPr>
          <w:p>
            <w:r>
              <w:rPr>
                <w:color w:val="444444"/>
                <w:sz w:val="18"/>
              </w:rPr>
              <w:t>Slide-up drawer with ad/affiliate card + product rows</w:t>
            </w:r>
          </w:p>
        </w:tc>
      </w:tr>
      <w:tr>
        <w:tc>
          <w:tcPr>
            <w:tcW w:type="dxa" w:w="1728"/>
            <w:shd w:val="clear" w:color="auto" w:fill="FFFFFF"/>
            <w:vAlign w:val="center"/>
          </w:tcPr>
          <w:p>
            <w:r>
              <w:rPr>
                <w:color w:val="444444"/>
                <w:sz w:val="18"/>
              </w:rPr>
              <w:t>Dismissed</w:t>
            </w:r>
          </w:p>
        </w:tc>
        <w:tc>
          <w:tcPr>
            <w:tcW w:type="dxa" w:w="3168"/>
            <w:shd w:val="clear" w:color="auto" w:fill="FFFFFF"/>
            <w:vAlign w:val="center"/>
          </w:tcPr>
          <w:p>
            <w:r>
              <w:rPr>
                <w:color w:val="444444"/>
                <w:sz w:val="18"/>
              </w:rPr>
              <w:t>Viewer taps ✕ or streamer clears</w:t>
            </w:r>
          </w:p>
        </w:tc>
        <w:tc>
          <w:tcPr>
            <w:tcW w:type="dxa" w:w="3744"/>
            <w:shd w:val="clear" w:color="auto" w:fill="FFFFFF"/>
            <w:vAlign w:val="center"/>
          </w:tcPr>
          <w:p>
            <w:r>
              <w:rPr>
                <w:color w:val="444444"/>
                <w:sz w:val="18"/>
              </w:rPr>
              <w:t>Drawer hides; icon disappears</w:t>
            </w:r>
          </w:p>
        </w:tc>
      </w:tr>
    </w:tbl>
    <w:p>
      <w:pPr>
        <w:spacing w:after="80"/>
      </w:pPr>
    </w:p>
    <w:p>
      <w:pPr>
        <w:spacing w:before="240" w:after="40"/>
      </w:pPr>
      <w:r>
        <w:rPr>
          <w:b/>
          <w:color w:val="111010"/>
          <w:sz w:val="22"/>
        </w:rPr>
        <w:t>6.2  Impression Tracking</w:t>
      </w:r>
    </w:p>
    <w:p>
      <w:pPr>
        <w:spacing w:before="40" w:after="80"/>
      </w:pPr>
      <w:r>
        <w:rPr>
          <w:color w:val="444444"/>
          <w:sz w:val="20"/>
        </w:rPr>
        <w:t>An impression is recorded the first time a viewer opens the drawer while a specific ad is active. The ad's Firestore document receives impressions: increment(1). Each viewer session tracks the last ad ID logged to prevent double-counting on drawer close/reopen.</w:t>
      </w:r>
    </w:p>
    <w:p>
      <w:pPr>
        <w:spacing w:before="240" w:after="40"/>
      </w:pPr>
      <w:r>
        <w:rPr>
          <w:b/>
          <w:color w:val="111010"/>
          <w:sz w:val="22"/>
        </w:rPr>
        <w:t>6.3  Click Tracking</w:t>
      </w:r>
    </w:p>
    <w:p>
      <w:pPr>
        <w:spacing w:before="40" w:after="80"/>
      </w:pPr>
      <w:r>
        <w:rPr>
          <w:color w:val="444444"/>
          <w:sz w:val="20"/>
        </w:rPr>
        <w:t>When a viewer taps a paid ad's CTA, clicks: increment(1) is written before the destination URL opens in a new tab. Affiliate clicks are tracked by Amazon's attribution system via the tag parameter — no server-side event required.</w:t>
      </w:r>
    </w:p>
    <w:p>
      <w:pPr>
        <w:spacing w:before="360" w:after="80"/>
      </w:pPr>
      <w:r>
        <w:rPr>
          <w:b/>
          <w:color w:val="FF7043"/>
          <w:sz w:val="28"/>
        </w:rPr>
        <w:t>7. Three-Phase Advertiser Adoption Strategy</w:t>
      </w:r>
    </w:p>
    <w:p>
      <w:pPr>
        <w:pBdr>
          <w:bottom w:val="single" w:sz="6" w:space="1" w:color="FF7043"/>
        </w:pBdr>
        <w:spacing w:after="0"/>
      </w:pPr>
    </w:p>
    <w:p>
      <w:pPr>
        <w:spacing w:before="40" w:after="80"/>
      </w:pPr>
      <w:r>
        <w:rPr>
          <w:color w:val="444444"/>
          <w:sz w:val="20"/>
        </w:rPr>
        <w:t>The self-serve console alone cannot drive advertiser scale. It assumes brands already know Qaramia exists and understand a new buying model — too much friction. The strategy below breaks the cold-start problem into three sequential phases, each building the evidence base required to unlock the next.</w:t>
      </w:r>
    </w:p>
    <w:p>
      <w:pPr>
        <w:spacing w:before="240" w:after="40"/>
      </w:pPr>
      <w:r>
        <w:rPr>
          <w:b/>
          <w:color w:val="111010"/>
          <w:sz w:val="22"/>
        </w:rPr>
        <w:t>Phase 1 — Seed with Category Anchors  (Months 1–3)</w:t>
      </w:r>
    </w:p>
    <w:p>
      <w:pPr>
        <w:spacing w:before="40" w:after="80"/>
      </w:pPr>
      <w:r>
        <w:rPr>
          <w:color w:val="444444"/>
          <w:sz w:val="20"/>
        </w:rPr>
        <w:t>Sign 5–10 anchor brands — one or two per key vertical. These are managed deals, not self-serve: Qaramia sets up campaigns, monitors performance, and writes the first case studies. Pricing is free or heavily discounted in exchange for logos and attribution rights.</w:t>
      </w:r>
    </w:p>
    <w:tbl>
      <w:tblPr>
        <w:tblW w:type="auto" w:w="0"/>
        <w:jc w:val="left"/>
        <w:tblLook w:firstColumn="1" w:firstRow="1" w:lastColumn="0" w:lastRow="0" w:noHBand="0" w:noVBand="1" w:val="04A0"/>
      </w:tblPr>
      <w:tblGrid>
        <w:gridCol w:w="9406"/>
      </w:tblGrid>
      <w:tr>
        <w:tc>
          <w:tcPr>
            <w:tcW w:type="dxa" w:w="8640"/>
            <w:shd w:val="clear" w:color="auto" w:fill="FFF5F2"/>
          </w:tcPr>
          <w:p>
            <w:pPr>
              <w:spacing w:before="80" w:after="80"/>
              <w:ind w:left="170"/>
            </w:pPr>
            <w:r>
              <w:rPr>
                <w:b/>
                <w:color w:val="FF7043"/>
                <w:sz w:val="20"/>
              </w:rPr>
              <w:t xml:space="preserve">Target profiles:  </w:t>
            </w:r>
            <w:r>
              <w:rPr>
                <w:color w:val="444444"/>
                <w:sz w:val="20"/>
              </w:rPr>
              <w:t>DTC brands already investing in TikTok Shop or Instagram Live commerce. They understand livestream buying intent and need minimal education. Categories: beauty, food/drink, fitness supplements, consumer electronics.</w:t>
            </w:r>
          </w:p>
        </w:tc>
      </w:tr>
    </w:tbl>
    <w:p>
      <w:pPr>
        <w:spacing w:after="40"/>
      </w:pPr>
    </w:p>
    <w:p>
      <w:pPr>
        <w:pStyle w:val="ListBullet"/>
        <w:spacing w:before="20" w:after="20"/>
        <w:ind w:left="340"/>
      </w:pPr>
      <w:r>
        <w:rPr>
          <w:color w:val="444444"/>
          <w:sz w:val="20"/>
        </w:rPr>
        <w:t>Deliverable: One case study per category — CPM, CTR, and sales-lift data.</w:t>
      </w:r>
    </w:p>
    <w:p>
      <w:pPr>
        <w:pStyle w:val="ListBullet"/>
        <w:spacing w:before="20" w:after="20"/>
        <w:ind w:left="340"/>
      </w:pPr>
      <w:r>
        <w:rPr>
          <w:color w:val="444444"/>
          <w:sz w:val="20"/>
        </w:rPr>
        <w:t>Deliverable: Validated keyword taxonomy per category used to seed the self-serve UI.</w:t>
      </w:r>
    </w:p>
    <w:p>
      <w:pPr>
        <w:pStyle w:val="ListBullet"/>
        <w:spacing w:before="20" w:after="20"/>
        <w:ind w:left="340"/>
      </w:pPr>
      <w:r>
        <w:rPr>
          <w:color w:val="444444"/>
          <w:sz w:val="20"/>
        </w:rPr>
        <w:t>Deliverable: Average session product-detection rate per stream category.</w:t>
      </w:r>
    </w:p>
    <w:p>
      <w:pPr>
        <w:spacing w:before="40" w:after="80"/>
        <w:ind w:left="340"/>
      </w:pPr>
      <w:r>
        <w:rPr>
          <w:color w:val="444444"/>
          <w:sz w:val="20"/>
        </w:rPr>
        <w:t>These anchor campaigns prove the format works in specific verticals and generate the social proof required to attract the agency channel in Phase 2.</w:t>
      </w:r>
    </w:p>
    <w:p>
      <w:pPr>
        <w:spacing w:before="240" w:after="40"/>
      </w:pPr>
      <w:r>
        <w:rPr>
          <w:b/>
          <w:color w:val="111010"/>
          <w:sz w:val="22"/>
        </w:rPr>
        <w:t>Phase 2 — Agency Channel Programme  (Months 3–6)</w:t>
      </w:r>
    </w:p>
    <w:p>
      <w:pPr>
        <w:spacing w:before="40" w:after="80"/>
      </w:pPr>
      <w:r>
        <w:rPr>
          <w:color w:val="444444"/>
          <w:sz w:val="20"/>
        </w:rPr>
        <w:t>Performance-marketing and influencer-marketing agencies control large brand budgets. They are motivated by new premium inventory with defensible CPMs and clear attribution. Qaramia's differentiating pitch to agencies is:</w:t>
      </w:r>
    </w:p>
    <w:tbl>
      <w:tblPr>
        <w:tblW w:type="auto" w:w="0"/>
        <w:jc w:val="left"/>
        <w:tblLook w:firstColumn="1" w:firstRow="1" w:lastColumn="0" w:lastRow="0" w:noHBand="0" w:noVBand="1" w:val="04A0"/>
      </w:tblPr>
      <w:tblGrid>
        <w:gridCol w:w="9406"/>
      </w:tblGrid>
      <w:tr>
        <w:tc>
          <w:tcPr>
            <w:tcW w:type="dxa" w:w="8640"/>
            <w:shd w:val="clear" w:color="auto" w:fill="FFF5F2"/>
          </w:tcPr>
          <w:p>
            <w:pPr>
              <w:spacing w:before="80" w:after="80"/>
              <w:ind w:left="170"/>
            </w:pPr>
            <w:r>
              <w:rPr>
                <w:b/>
                <w:color w:val="FF7043"/>
                <w:sz w:val="20"/>
              </w:rPr>
              <w:t xml:space="preserve">Agency pitch:  </w:t>
            </w:r>
            <w:r>
              <w:rPr>
                <w:color w:val="444444"/>
                <w:sz w:val="20"/>
              </w:rPr>
              <w:t>"We are the only ad platform that serves an impression at the exact moment a viewer witnesses the product in the real world — not retargeted, not demographic-matched. Witnessing-triggered commerce. We have case studies proving X% higher CTR than pre-roll in the same category."</w:t>
            </w:r>
          </w:p>
        </w:tc>
      </w:tr>
    </w:tbl>
    <w:p>
      <w:pPr>
        <w:spacing w:after="40"/>
      </w:pPr>
    </w:p>
    <w:p>
      <w:pPr>
        <w:spacing w:before="40" w:after="80"/>
      </w:pPr>
      <w:r>
        <w:rPr>
          <w:color w:val="444444"/>
          <w:sz w:val="20"/>
        </w:rPr>
        <w:t>Agency requirements that must be in place before outreach:</w:t>
      </w:r>
    </w:p>
    <w:p>
      <w:pPr>
        <w:pStyle w:val="ListBullet"/>
        <w:spacing w:before="20" w:after="20"/>
        <w:ind w:left="340"/>
      </w:pPr>
      <w:r>
        <w:rPr>
          <w:color w:val="444444"/>
          <w:sz w:val="20"/>
        </w:rPr>
        <w:t>Audience demographics — age, gender, and geography of viewers per stream category.</w:t>
      </w:r>
    </w:p>
    <w:p>
      <w:pPr>
        <w:pStyle w:val="ListBullet"/>
        <w:spacing w:before="20" w:after="20"/>
        <w:ind w:left="340"/>
      </w:pPr>
      <w:r>
        <w:rPr>
          <w:color w:val="444444"/>
          <w:sz w:val="20"/>
        </w:rPr>
        <w:t>MRC-standard impression definition — drawer open + ad visible ≥ 1 second (see §14).</w:t>
      </w:r>
    </w:p>
    <w:p>
      <w:pPr>
        <w:pStyle w:val="ListBullet"/>
        <w:spacing w:before="20" w:after="20"/>
        <w:ind w:left="340"/>
      </w:pPr>
      <w:r>
        <w:rPr>
          <w:color w:val="444444"/>
          <w:sz w:val="20"/>
        </w:rPr>
        <w:t>Brand safety controls — advertiser blocklist by streamer or content category.</w:t>
      </w:r>
    </w:p>
    <w:p>
      <w:pPr>
        <w:pStyle w:val="ListBullet"/>
        <w:spacing w:before="20" w:after="20"/>
        <w:ind w:left="340"/>
      </w:pPr>
      <w:r>
        <w:rPr>
          <w:color w:val="444444"/>
          <w:sz w:val="20"/>
        </w:rPr>
        <w:t>Managed service tier — a human account manager, insertion order templates, and monthly reporting.</w:t>
      </w:r>
    </w:p>
    <w:p>
      <w:pPr>
        <w:pStyle w:val="ListBullet"/>
        <w:spacing w:before="20" w:after="20"/>
        <w:ind w:left="340"/>
      </w:pPr>
      <w:r>
        <w:rPr>
          <w:color w:val="444444"/>
          <w:sz w:val="20"/>
        </w:rPr>
        <w:t>Invoicing — Stripe billing or invoice-on-PO for agency finance teams.</w:t>
      </w:r>
    </w:p>
    <w:p>
      <w:pPr>
        <w:spacing w:before="240" w:after="40"/>
      </w:pPr>
      <w:r>
        <w:rPr>
          <w:b/>
          <w:color w:val="111010"/>
          <w:sz w:val="22"/>
        </w:rPr>
        <w:t>Phase 3 — Programmatic Demand  (Months 6–12)</w:t>
      </w:r>
    </w:p>
    <w:p>
      <w:pPr>
        <w:spacing w:before="40" w:after="80"/>
      </w:pPr>
      <w:r>
        <w:rPr>
          <w:color w:val="444444"/>
          <w:sz w:val="20"/>
        </w:rPr>
        <w:t>Once direct-sold inventory is established, connect to programmatic demand via an SSP (Supply-Side Platform). This unlocks millions of pre-existing advertiser budgets without incremental direct-sales effort. The product detection event becomes a standard OpenRTB bid request enriched with Qaramia-specific signals.</w:t>
      </w:r>
    </w:p>
    <w:tbl>
      <w:tblPr>
        <w:tblW w:type="auto" w:w="0"/>
        <w:jc w:val="left"/>
        <w:tblLook w:firstColumn="1" w:firstRow="1" w:lastColumn="0" w:lastRow="0" w:noHBand="0" w:noVBand="1" w:val="04A0"/>
      </w:tblPr>
      <w:tblGrid>
        <w:gridCol w:w="9406"/>
      </w:tblGrid>
      <w:tr>
        <w:tc>
          <w:tcPr>
            <w:tcW w:type="dxa" w:w="8640"/>
            <w:shd w:val="clear" w:color="auto" w:fill="FFF5F2"/>
          </w:tcPr>
          <w:p>
            <w:pPr>
              <w:spacing w:before="80" w:after="80"/>
              <w:ind w:left="170"/>
            </w:pPr>
            <w:r>
              <w:rPr>
                <w:b/>
                <w:color w:val="FF7043"/>
                <w:sz w:val="20"/>
              </w:rPr>
              <w:t xml:space="preserve">Bid request signals (proprietary):  </w:t>
            </w:r>
            <w:r>
              <w:rPr>
                <w:color w:val="444444"/>
                <w:sz w:val="20"/>
              </w:rPr>
              <w:t>product_brand, product_name, product_category, viewer_count, stream_category, detection_confidence (0–1), geo, device_type, language.</w:t>
            </w:r>
          </w:p>
        </w:tc>
      </w:tr>
    </w:tbl>
    <w:p>
      <w:pPr>
        <w:spacing w:after="40"/>
      </w:pPr>
    </w:p>
    <w:p>
      <w:pPr>
        <w:pStyle w:val="ListBullet"/>
        <w:spacing w:before="20" w:after="20"/>
        <w:ind w:left="340"/>
      </w:pPr>
      <w:r>
        <w:rPr>
          <w:color w:val="444444"/>
          <w:sz w:val="20"/>
        </w:rPr>
        <w:t>Recommended SSP partners: Amazon Publisher Services (strongest for product-adjacent inventory), Google Ad Manager (largest pool), Magnite (flexible for novel formats).</w:t>
      </w:r>
    </w:p>
    <w:p>
      <w:pPr>
        <w:pStyle w:val="ListBullet"/>
        <w:spacing w:before="20" w:after="20"/>
        <w:ind w:left="340"/>
      </w:pPr>
      <w:r>
        <w:rPr>
          <w:color w:val="444444"/>
          <w:sz w:val="20"/>
        </w:rPr>
        <w:t>Floor price: $8 CPM for category-only targeting; $15 CPM for brand+keyword targeting.</w:t>
      </w:r>
    </w:p>
    <w:p>
      <w:pPr>
        <w:pStyle w:val="ListBullet"/>
        <w:spacing w:before="20" w:after="20"/>
        <w:ind w:left="340"/>
      </w:pPr>
      <w:r>
        <w:rPr>
          <w:color w:val="444444"/>
          <w:sz w:val="20"/>
        </w:rPr>
        <w:t>Requires IAB/OpenRTB 2.6 compliance and ads.txt/sellers.json publication.</w:t>
      </w:r>
    </w:p>
    <w:p>
      <w:pPr>
        <w:spacing w:before="360" w:after="80"/>
      </w:pPr>
      <w:r>
        <w:rPr>
          <w:b/>
          <w:color w:val="FF7043"/>
          <w:sz w:val="28"/>
        </w:rPr>
        <w:t>8. Advertiser Personas</w:t>
      </w:r>
    </w:p>
    <w:p>
      <w:pPr>
        <w:pBdr>
          <w:bottom w:val="single" w:sz="6" w:space="1" w:color="FF7043"/>
        </w:pBdr>
        <w:spacing w:after="0"/>
      </w:pPr>
    </w:p>
    <w:p>
      <w:pPr>
        <w:spacing w:before="40" w:after="80"/>
      </w:pPr>
      <w:r>
        <w:rPr>
          <w:color w:val="444444"/>
          <w:sz w:val="20"/>
        </w:rPr>
        <w:t>Different buyers have different needs. Qaramia's go-to-market motion must serve all three personas without requiring the same buyer to navigate an enterprise RFP process just to run a $200 test.</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72"/>
            <w:shd w:val="clear" w:color="auto" w:fill="FF7043"/>
            <w:vAlign w:val="center"/>
          </w:tcPr>
          <w:p>
            <w:pPr>
              <w:jc w:val="left"/>
            </w:pPr>
            <w:r>
              <w:rPr>
                <w:b/>
                <w:color w:val="FFFFFF"/>
                <w:sz w:val="18"/>
              </w:rPr>
              <w:t>Persona</w:t>
            </w:r>
          </w:p>
        </w:tc>
        <w:tc>
          <w:tcPr>
            <w:tcW w:type="dxa" w:w="2880"/>
            <w:shd w:val="clear" w:color="auto" w:fill="FF7043"/>
            <w:vAlign w:val="center"/>
          </w:tcPr>
          <w:p>
            <w:pPr>
              <w:jc w:val="left"/>
            </w:pPr>
            <w:r>
              <w:rPr>
                <w:b/>
                <w:color w:val="FFFFFF"/>
                <w:sz w:val="18"/>
              </w:rPr>
              <w:t>Who they are</w:t>
            </w:r>
          </w:p>
        </w:tc>
        <w:tc>
          <w:tcPr>
            <w:tcW w:type="dxa" w:w="2160"/>
            <w:shd w:val="clear" w:color="auto" w:fill="FF7043"/>
            <w:vAlign w:val="center"/>
          </w:tcPr>
          <w:p>
            <w:pPr>
              <w:jc w:val="left"/>
            </w:pPr>
            <w:r>
              <w:rPr>
                <w:b/>
                <w:color w:val="FFFFFF"/>
                <w:sz w:val="18"/>
              </w:rPr>
              <w:t>Buying model</w:t>
            </w:r>
          </w:p>
        </w:tc>
        <w:tc>
          <w:tcPr>
            <w:tcW w:type="dxa" w:w="2592"/>
            <w:shd w:val="clear" w:color="auto" w:fill="FF7043"/>
            <w:vAlign w:val="center"/>
          </w:tcPr>
          <w:p>
            <w:pPr>
              <w:jc w:val="left"/>
            </w:pPr>
            <w:r>
              <w:rPr>
                <w:b/>
                <w:color w:val="FFFFFF"/>
                <w:sz w:val="18"/>
              </w:rPr>
              <w:t>Key need</w:t>
            </w:r>
          </w:p>
        </w:tc>
        <w:tc>
          <w:tcPr>
            <w:tcW w:type="dxa" w:w="1152"/>
            <w:shd w:val="clear" w:color="auto" w:fill="FF7043"/>
            <w:vAlign w:val="center"/>
          </w:tcPr>
          <w:p>
            <w:pPr>
              <w:jc w:val="left"/>
            </w:pPr>
            <w:r>
              <w:rPr>
                <w:b/>
                <w:color w:val="FFFFFF"/>
                <w:sz w:val="18"/>
              </w:rPr>
              <w:t>Phase</w:t>
            </w:r>
          </w:p>
        </w:tc>
      </w:tr>
      <w:tr>
        <w:tc>
          <w:tcPr>
            <w:tcW w:type="dxa" w:w="1872"/>
            <w:shd w:val="clear" w:color="auto" w:fill="FFF5F2"/>
            <w:vAlign w:val="center"/>
          </w:tcPr>
          <w:p>
            <w:r>
              <w:rPr>
                <w:color w:val="444444"/>
                <w:sz w:val="18"/>
              </w:rPr>
              <w:t>DTC Brand</w:t>
            </w:r>
          </w:p>
        </w:tc>
        <w:tc>
          <w:tcPr>
            <w:tcW w:type="dxa" w:w="2880"/>
            <w:shd w:val="clear" w:color="auto" w:fill="FFF5F2"/>
            <w:vAlign w:val="center"/>
          </w:tcPr>
          <w:p>
            <w:r>
              <w:rPr>
                <w:color w:val="444444"/>
                <w:sz w:val="18"/>
              </w:rPr>
              <w:t>Direct-to-consumer brand, social-native, small team</w:t>
            </w:r>
          </w:p>
        </w:tc>
        <w:tc>
          <w:tcPr>
            <w:tcW w:type="dxa" w:w="2160"/>
            <w:shd w:val="clear" w:color="auto" w:fill="FFF5F2"/>
            <w:vAlign w:val="center"/>
          </w:tcPr>
          <w:p>
            <w:r>
              <w:rPr>
                <w:color w:val="444444"/>
                <w:sz w:val="18"/>
              </w:rPr>
              <w:t>Self-serve CPC/CPM</w:t>
            </w:r>
          </w:p>
        </w:tc>
        <w:tc>
          <w:tcPr>
            <w:tcW w:type="dxa" w:w="2592"/>
            <w:shd w:val="clear" w:color="auto" w:fill="FFF5F2"/>
            <w:vAlign w:val="center"/>
          </w:tcPr>
          <w:p>
            <w:r>
              <w:rPr>
                <w:color w:val="444444"/>
                <w:sz w:val="18"/>
              </w:rPr>
              <w:t>Simple setup, fast attribution</w:t>
            </w:r>
          </w:p>
        </w:tc>
        <w:tc>
          <w:tcPr>
            <w:tcW w:type="dxa" w:w="1152"/>
            <w:shd w:val="clear" w:color="auto" w:fill="FFF5F2"/>
            <w:vAlign w:val="center"/>
          </w:tcPr>
          <w:p>
            <w:r>
              <w:rPr>
                <w:color w:val="444444"/>
                <w:sz w:val="18"/>
              </w:rPr>
              <w:t>1–2</w:t>
            </w:r>
          </w:p>
        </w:tc>
      </w:tr>
      <w:tr>
        <w:tc>
          <w:tcPr>
            <w:tcW w:type="dxa" w:w="1872"/>
            <w:shd w:val="clear" w:color="auto" w:fill="FFFFFF"/>
            <w:vAlign w:val="center"/>
          </w:tcPr>
          <w:p>
            <w:r>
              <w:rPr>
                <w:color w:val="444444"/>
                <w:sz w:val="18"/>
              </w:rPr>
              <w:t>Category Anchor</w:t>
            </w:r>
          </w:p>
        </w:tc>
        <w:tc>
          <w:tcPr>
            <w:tcW w:type="dxa" w:w="2880"/>
            <w:shd w:val="clear" w:color="auto" w:fill="FFFFFF"/>
            <w:vAlign w:val="center"/>
          </w:tcPr>
          <w:p>
            <w:r>
              <w:rPr>
                <w:color w:val="444444"/>
                <w:sz w:val="18"/>
              </w:rPr>
              <w:t>Mid-market brand in beauty/food/tech, agency or in-house</w:t>
            </w:r>
          </w:p>
        </w:tc>
        <w:tc>
          <w:tcPr>
            <w:tcW w:type="dxa" w:w="2160"/>
            <w:shd w:val="clear" w:color="auto" w:fill="FFFFFF"/>
            <w:vAlign w:val="center"/>
          </w:tcPr>
          <w:p>
            <w:r>
              <w:rPr>
                <w:color w:val="444444"/>
                <w:sz w:val="18"/>
              </w:rPr>
              <w:t>Managed CPM deal</w:t>
            </w:r>
          </w:p>
        </w:tc>
        <w:tc>
          <w:tcPr>
            <w:tcW w:type="dxa" w:w="2592"/>
            <w:shd w:val="clear" w:color="auto" w:fill="FFFFFF"/>
            <w:vAlign w:val="center"/>
          </w:tcPr>
          <w:p>
            <w:r>
              <w:rPr>
                <w:color w:val="444444"/>
                <w:sz w:val="18"/>
              </w:rPr>
              <w:t>Case studies, brand safety, reach data</w:t>
            </w:r>
          </w:p>
        </w:tc>
        <w:tc>
          <w:tcPr>
            <w:tcW w:type="dxa" w:w="1152"/>
            <w:shd w:val="clear" w:color="auto" w:fill="FFFFFF"/>
            <w:vAlign w:val="center"/>
          </w:tcPr>
          <w:p>
            <w:r>
              <w:rPr>
                <w:color w:val="444444"/>
                <w:sz w:val="18"/>
              </w:rPr>
              <w:t>1–2</w:t>
            </w:r>
          </w:p>
        </w:tc>
      </w:tr>
      <w:tr>
        <w:tc>
          <w:tcPr>
            <w:tcW w:type="dxa" w:w="1872"/>
            <w:shd w:val="clear" w:color="auto" w:fill="FFF5F2"/>
            <w:vAlign w:val="center"/>
          </w:tcPr>
          <w:p>
            <w:r>
              <w:rPr>
                <w:color w:val="444444"/>
                <w:sz w:val="18"/>
              </w:rPr>
              <w:t>Performance Mgr</w:t>
            </w:r>
          </w:p>
        </w:tc>
        <w:tc>
          <w:tcPr>
            <w:tcW w:type="dxa" w:w="2880"/>
            <w:shd w:val="clear" w:color="auto" w:fill="FFF5F2"/>
            <w:vAlign w:val="center"/>
          </w:tcPr>
          <w:p>
            <w:r>
              <w:rPr>
                <w:color w:val="444444"/>
                <w:sz w:val="18"/>
              </w:rPr>
              <w:t>Agency managing $500K+/year across multiple brands</w:t>
            </w:r>
          </w:p>
        </w:tc>
        <w:tc>
          <w:tcPr>
            <w:tcW w:type="dxa" w:w="2160"/>
            <w:shd w:val="clear" w:color="auto" w:fill="FFF5F2"/>
            <w:vAlign w:val="center"/>
          </w:tcPr>
          <w:p>
            <w:r>
              <w:rPr>
                <w:color w:val="444444"/>
                <w:sz w:val="18"/>
              </w:rPr>
              <w:t>Managed + programmatic</w:t>
            </w:r>
          </w:p>
        </w:tc>
        <w:tc>
          <w:tcPr>
            <w:tcW w:type="dxa" w:w="2592"/>
            <w:shd w:val="clear" w:color="auto" w:fill="FFF5F2"/>
            <w:vAlign w:val="center"/>
          </w:tcPr>
          <w:p>
            <w:r>
              <w:rPr>
                <w:color w:val="444444"/>
                <w:sz w:val="18"/>
              </w:rPr>
              <w:t>MRC measurement, IO workflow, bulk reporting</w:t>
            </w:r>
          </w:p>
        </w:tc>
        <w:tc>
          <w:tcPr>
            <w:tcW w:type="dxa" w:w="1152"/>
            <w:shd w:val="clear" w:color="auto" w:fill="FFF5F2"/>
            <w:vAlign w:val="center"/>
          </w:tcPr>
          <w:p>
            <w:r>
              <w:rPr>
                <w:color w:val="444444"/>
                <w:sz w:val="18"/>
              </w:rPr>
              <w:t>2–3</w:t>
            </w:r>
          </w:p>
        </w:tc>
      </w:tr>
      <w:tr>
        <w:tc>
          <w:tcPr>
            <w:tcW w:type="dxa" w:w="1872"/>
            <w:shd w:val="clear" w:color="auto" w:fill="FFFFFF"/>
            <w:vAlign w:val="center"/>
          </w:tcPr>
          <w:p>
            <w:r>
              <w:rPr>
                <w:color w:val="444444"/>
                <w:sz w:val="18"/>
              </w:rPr>
              <w:t>Enterprise Brand</w:t>
            </w:r>
          </w:p>
        </w:tc>
        <w:tc>
          <w:tcPr>
            <w:tcW w:type="dxa" w:w="2880"/>
            <w:shd w:val="clear" w:color="auto" w:fill="FFFFFF"/>
            <w:vAlign w:val="center"/>
          </w:tcPr>
          <w:p>
            <w:r>
              <w:rPr>
                <w:color w:val="444444"/>
                <w:sz w:val="18"/>
              </w:rPr>
              <w:t>Top-50 CPG or tech brand, procurement process</w:t>
            </w:r>
          </w:p>
        </w:tc>
        <w:tc>
          <w:tcPr>
            <w:tcW w:type="dxa" w:w="2160"/>
            <w:shd w:val="clear" w:color="auto" w:fill="FFFFFF"/>
            <w:vAlign w:val="center"/>
          </w:tcPr>
          <w:p>
            <w:r>
              <w:rPr>
                <w:color w:val="444444"/>
                <w:sz w:val="18"/>
              </w:rPr>
              <w:t>Programmatic DSP</w:t>
            </w:r>
          </w:p>
        </w:tc>
        <w:tc>
          <w:tcPr>
            <w:tcW w:type="dxa" w:w="2592"/>
            <w:shd w:val="clear" w:color="auto" w:fill="FFFFFF"/>
            <w:vAlign w:val="center"/>
          </w:tcPr>
          <w:p>
            <w:r>
              <w:rPr>
                <w:color w:val="444444"/>
                <w:sz w:val="18"/>
              </w:rPr>
              <w:t>Brand safety, viewability, fraud protection</w:t>
            </w:r>
          </w:p>
        </w:tc>
        <w:tc>
          <w:tcPr>
            <w:tcW w:type="dxa" w:w="1152"/>
            <w:shd w:val="clear" w:color="auto" w:fill="FFFFFF"/>
            <w:vAlign w:val="center"/>
          </w:tcPr>
          <w:p>
            <w:r>
              <w:rPr>
                <w:color w:val="444444"/>
                <w:sz w:val="18"/>
              </w:rPr>
              <w:t>3</w:t>
            </w:r>
          </w:p>
        </w:tc>
      </w:tr>
    </w:tbl>
    <w:p>
      <w:pPr>
        <w:spacing w:after="80"/>
      </w:pPr>
    </w:p>
    <w:p>
      <w:pPr>
        <w:spacing w:before="360" w:after="80"/>
      </w:pPr>
      <w:r>
        <w:rPr>
          <w:b/>
          <w:color w:val="FF7043"/>
          <w:sz w:val="28"/>
        </w:rPr>
        <w:t>9. Direct Ad Sales — Self-Serve Console</w:t>
      </w:r>
    </w:p>
    <w:p>
      <w:pPr>
        <w:pBdr>
          <w:bottom w:val="single" w:sz="6" w:space="1" w:color="FF7043"/>
        </w:pBdr>
        <w:spacing w:after="0"/>
      </w:pPr>
    </w:p>
    <w:p>
      <w:pPr>
        <w:spacing w:before="40" w:after="80"/>
      </w:pPr>
      <w:r>
        <w:rPr>
          <w:color w:val="444444"/>
          <w:sz w:val="20"/>
        </w:rPr>
        <w:t>Any authenticated user can create a campaign at /studio/ads. The workflow is designed for a brand's social-media or performance-marketing team with no prior Qaramia experience.</w:t>
      </w:r>
    </w:p>
    <w:p>
      <w:pPr>
        <w:spacing w:before="240" w:after="40"/>
      </w:pPr>
      <w:r>
        <w:rPr>
          <w:b/>
          <w:color w:val="111010"/>
          <w:sz w:val="22"/>
        </w:rPr>
        <w:t>9.1  Campaign Creation</w:t>
      </w:r>
    </w:p>
    <w:p>
      <w:pPr>
        <w:pStyle w:val="ListBullet"/>
        <w:spacing w:before="20" w:after="20"/>
        <w:ind w:left="340"/>
      </w:pPr>
      <w:r>
        <w:rPr>
          <w:color w:val="444444"/>
          <w:sz w:val="20"/>
        </w:rPr>
        <w:t>Navigate to /studio/ads (linked from Creator Studio header and top nav "Ads" link).</w:t>
      </w:r>
    </w:p>
    <w:p>
      <w:pPr>
        <w:pStyle w:val="ListBullet"/>
        <w:spacing w:before="20" w:after="20"/>
        <w:ind w:left="340"/>
      </w:pPr>
      <w:r>
        <w:rPr>
          <w:color w:val="444444"/>
          <w:sz w:val="20"/>
        </w:rPr>
        <w:t>Click "+ New Ad" to open the creation form.</w:t>
      </w:r>
    </w:p>
    <w:p>
      <w:pPr>
        <w:pStyle w:val="ListBullet"/>
        <w:spacing w:before="20" w:after="20"/>
        <w:ind w:left="340"/>
      </w:pPr>
      <w:r>
        <w:rPr>
          <w:color w:val="444444"/>
          <w:sz w:val="20"/>
        </w:rPr>
        <w:t>Fields: Headline, Destination URL, CTA button text (default: "Shop Now"), optional image URL, keywords, category.</w:t>
      </w:r>
    </w:p>
    <w:p>
      <w:pPr>
        <w:pStyle w:val="ListBullet"/>
        <w:spacing w:before="20" w:after="20"/>
        <w:ind w:left="340"/>
      </w:pPr>
      <w:r>
        <w:rPr>
          <w:color w:val="444444"/>
          <w:sz w:val="20"/>
        </w:rPr>
        <w:t>Keywords: comma-separated brand names and product terms. Example: "nike, air max, sneaker, trainer, running shoe".</w:t>
      </w:r>
    </w:p>
    <w:p>
      <w:pPr>
        <w:pStyle w:val="ListBullet"/>
        <w:spacing w:before="20" w:after="20"/>
        <w:ind w:left="340"/>
      </w:pPr>
      <w:r>
        <w:rPr>
          <w:color w:val="444444"/>
          <w:sz w:val="20"/>
        </w:rPr>
        <w:t>Category: select from the taxonomy in §4.2 to enable category-level targeting.</w:t>
      </w:r>
    </w:p>
    <w:p>
      <w:pPr>
        <w:pStyle w:val="ListBullet"/>
        <w:spacing w:before="20" w:after="20"/>
        <w:ind w:left="340"/>
      </w:pPr>
      <w:r>
        <w:rPr>
          <w:color w:val="444444"/>
          <w:sz w:val="20"/>
        </w:rPr>
        <w:t>Ad is created with status "active" and starts matching immediately.</w:t>
      </w:r>
    </w:p>
    <w:p>
      <w:pPr>
        <w:spacing w:before="240" w:after="40"/>
      </w:pPr>
      <w:r>
        <w:rPr>
          <w:b/>
          <w:color w:val="111010"/>
          <w:sz w:val="22"/>
        </w:rPr>
        <w:t>9.2  Campaign Management</w:t>
      </w:r>
    </w:p>
    <w:p>
      <w:pPr>
        <w:pStyle w:val="ListBullet"/>
        <w:spacing w:before="20" w:after="20"/>
        <w:ind w:left="340"/>
      </w:pPr>
      <w:r>
        <w:rPr>
          <w:color w:val="444444"/>
          <w:sz w:val="20"/>
        </w:rPr>
        <w:t>Toggle active / paused — paused ads are excluded from all match queries.</w:t>
      </w:r>
    </w:p>
    <w:p>
      <w:pPr>
        <w:pStyle w:val="ListBullet"/>
        <w:spacing w:before="20" w:after="20"/>
        <w:ind w:left="340"/>
      </w:pPr>
      <w:r>
        <w:rPr>
          <w:color w:val="444444"/>
          <w:sz w:val="20"/>
        </w:rPr>
        <w:t>Delete — permanently removes the ad document.</w:t>
      </w:r>
    </w:p>
    <w:p>
      <w:pPr>
        <w:pStyle w:val="ListBullet"/>
        <w:spacing w:before="20" w:after="20"/>
        <w:ind w:left="340"/>
      </w:pPr>
      <w:r>
        <w:rPr>
          <w:color w:val="444444"/>
          <w:sz w:val="20"/>
        </w:rPr>
        <w:t>Live stats — impressions, clicks, and CTR update in real time via onSnapshot.</w:t>
      </w:r>
    </w:p>
    <w:p>
      <w:pPr>
        <w:spacing w:before="240" w:after="40"/>
      </w:pPr>
      <w:r>
        <w:rPr>
          <w:b/>
          <w:color w:val="111010"/>
          <w:sz w:val="22"/>
        </w:rPr>
        <w:t>9.3  Keyword Strategy Guide  (shown in-product)</w:t>
      </w:r>
    </w:p>
    <w:p>
      <w:pPr>
        <w:spacing w:before="40" w:after="80"/>
      </w:pPr>
      <w:r>
        <w:rPr>
          <w:color w:val="444444"/>
          <w:sz w:val="20"/>
        </w:rPr>
        <w:t>Advertisers should include:</w:t>
      </w:r>
    </w:p>
    <w:p>
      <w:pPr>
        <w:pStyle w:val="ListBullet"/>
        <w:spacing w:before="20" w:after="20"/>
        <w:ind w:left="340"/>
      </w:pPr>
      <w:r>
        <w:rPr>
          <w:color w:val="444444"/>
          <w:sz w:val="20"/>
        </w:rPr>
        <w:t>The exact brand name, including common misspellings (e.g. "loreal", "l'oreal").</w:t>
      </w:r>
    </w:p>
    <w:p>
      <w:pPr>
        <w:pStyle w:val="ListBullet"/>
        <w:spacing w:before="20" w:after="20"/>
        <w:ind w:left="340"/>
      </w:pPr>
      <w:r>
        <w:rPr>
          <w:color w:val="444444"/>
          <w:sz w:val="20"/>
        </w:rPr>
        <w:t>Product line names (e.g. "elvive", "excellence", "age perfect").</w:t>
      </w:r>
    </w:p>
    <w:p>
      <w:pPr>
        <w:pStyle w:val="ListBullet"/>
        <w:spacing w:before="20" w:after="20"/>
        <w:ind w:left="340"/>
      </w:pPr>
      <w:r>
        <w:rPr>
          <w:color w:val="444444"/>
          <w:sz w:val="20"/>
        </w:rPr>
        <w:t>Generic category terms for broad reach (e.g. "shampoo", "haircare", "conditioner").</w:t>
      </w:r>
    </w:p>
    <w:p>
      <w:pPr>
        <w:spacing w:before="40" w:after="80"/>
        <w:ind w:left="340"/>
      </w:pPr>
      <w:r>
        <w:rPr>
          <w:color w:val="444444"/>
          <w:sz w:val="20"/>
        </w:rPr>
        <w:t>Broader keywords increase match frequency but may surface the ad alongside competitor products. Tighter sets reduce volume but improve contextual relevance.</w:t>
      </w:r>
    </w:p>
    <w:p>
      <w:pPr>
        <w:spacing w:before="240" w:after="40"/>
      </w:pPr>
      <w:r>
        <w:rPr>
          <w:b/>
          <w:color w:val="111010"/>
          <w:sz w:val="22"/>
        </w:rPr>
        <w:t>9.4  Pricing — Self-Serve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val="clear" w:color="auto" w:fill="FF7043"/>
            <w:vAlign w:val="center"/>
          </w:tcPr>
          <w:p>
            <w:pPr>
              <w:jc w:val="left"/>
            </w:pPr>
            <w:r>
              <w:rPr>
                <w:b/>
                <w:color w:val="FFFFFF"/>
                <w:sz w:val="18"/>
              </w:rPr>
              <w:t>Model</w:t>
            </w:r>
          </w:p>
        </w:tc>
        <w:tc>
          <w:tcPr>
            <w:tcW w:type="dxa" w:w="2592"/>
            <w:shd w:val="clear" w:color="auto" w:fill="FF7043"/>
            <w:vAlign w:val="center"/>
          </w:tcPr>
          <w:p>
            <w:pPr>
              <w:jc w:val="left"/>
            </w:pPr>
            <w:r>
              <w:rPr>
                <w:b/>
                <w:color w:val="FFFFFF"/>
                <w:sz w:val="18"/>
              </w:rPr>
              <w:t>Unit</w:t>
            </w:r>
          </w:p>
        </w:tc>
        <w:tc>
          <w:tcPr>
            <w:tcW w:type="dxa" w:w="2592"/>
            <w:shd w:val="clear" w:color="auto" w:fill="FF7043"/>
            <w:vAlign w:val="center"/>
          </w:tcPr>
          <w:p>
            <w:pPr>
              <w:jc w:val="left"/>
            </w:pPr>
            <w:r>
              <w:rPr>
                <w:b/>
                <w:color w:val="FFFFFF"/>
                <w:sz w:val="18"/>
              </w:rPr>
              <w:t>Recommended rate</w:t>
            </w:r>
          </w:p>
        </w:tc>
        <w:tc>
          <w:tcPr>
            <w:tcW w:type="dxa" w:w="3168"/>
            <w:shd w:val="clear" w:color="auto" w:fill="FF7043"/>
            <w:vAlign w:val="center"/>
          </w:tcPr>
          <w:p>
            <w:pPr>
              <w:jc w:val="left"/>
            </w:pPr>
            <w:r>
              <w:rPr>
                <w:b/>
                <w:color w:val="FFFFFF"/>
                <w:sz w:val="18"/>
              </w:rPr>
              <w:t>Notes</w:t>
            </w:r>
          </w:p>
        </w:tc>
      </w:tr>
      <w:tr>
        <w:tc>
          <w:tcPr>
            <w:tcW w:type="dxa" w:w="1728"/>
            <w:shd w:val="clear" w:color="auto" w:fill="FFF5F2"/>
            <w:vAlign w:val="center"/>
          </w:tcPr>
          <w:p>
            <w:r>
              <w:rPr>
                <w:color w:val="444444"/>
                <w:sz w:val="18"/>
              </w:rPr>
              <w:t>CPC</w:t>
            </w:r>
          </w:p>
        </w:tc>
        <w:tc>
          <w:tcPr>
            <w:tcW w:type="dxa" w:w="2592"/>
            <w:shd w:val="clear" w:color="auto" w:fill="FFF5F2"/>
            <w:vAlign w:val="center"/>
          </w:tcPr>
          <w:p>
            <w:r>
              <w:rPr>
                <w:color w:val="444444"/>
                <w:sz w:val="18"/>
              </w:rPr>
              <w:t>Per click on CTA</w:t>
            </w:r>
          </w:p>
        </w:tc>
        <w:tc>
          <w:tcPr>
            <w:tcW w:type="dxa" w:w="2592"/>
            <w:shd w:val="clear" w:color="auto" w:fill="FFF5F2"/>
            <w:vAlign w:val="center"/>
          </w:tcPr>
          <w:p>
            <w:r>
              <w:rPr>
                <w:color w:val="444444"/>
                <w:sz w:val="18"/>
              </w:rPr>
              <w:t>$0.50 – $2.00</w:t>
            </w:r>
          </w:p>
        </w:tc>
        <w:tc>
          <w:tcPr>
            <w:tcW w:type="dxa" w:w="3168"/>
            <w:shd w:val="clear" w:color="auto" w:fill="FFF5F2"/>
            <w:vAlign w:val="center"/>
          </w:tcPr>
          <w:p>
            <w:r>
              <w:rPr>
                <w:color w:val="444444"/>
                <w:sz w:val="18"/>
              </w:rPr>
              <w:t>Lower barrier for first campaigns</w:t>
            </w:r>
          </w:p>
        </w:tc>
      </w:tr>
      <w:tr>
        <w:tc>
          <w:tcPr>
            <w:tcW w:type="dxa" w:w="1728"/>
            <w:shd w:val="clear" w:color="auto" w:fill="FFFFFF"/>
            <w:vAlign w:val="center"/>
          </w:tcPr>
          <w:p>
            <w:r>
              <w:rPr>
                <w:color w:val="444444"/>
                <w:sz w:val="18"/>
              </w:rPr>
              <w:t>CPM</w:t>
            </w:r>
          </w:p>
        </w:tc>
        <w:tc>
          <w:tcPr>
            <w:tcW w:type="dxa" w:w="2592"/>
            <w:shd w:val="clear" w:color="auto" w:fill="FFFFFF"/>
            <w:vAlign w:val="center"/>
          </w:tcPr>
          <w:p>
            <w:r>
              <w:rPr>
                <w:color w:val="444444"/>
                <w:sz w:val="18"/>
              </w:rPr>
              <w:t>Per 1,000 impressions</w:t>
            </w:r>
          </w:p>
        </w:tc>
        <w:tc>
          <w:tcPr>
            <w:tcW w:type="dxa" w:w="2592"/>
            <w:shd w:val="clear" w:color="auto" w:fill="FFFFFF"/>
            <w:vAlign w:val="center"/>
          </w:tcPr>
          <w:p>
            <w:r>
              <w:rPr>
                <w:color w:val="444444"/>
                <w:sz w:val="18"/>
              </w:rPr>
              <w:t>$12 – $25</w:t>
            </w:r>
          </w:p>
        </w:tc>
        <w:tc>
          <w:tcPr>
            <w:tcW w:type="dxa" w:w="3168"/>
            <w:shd w:val="clear" w:color="auto" w:fill="FFFFFF"/>
            <w:vAlign w:val="center"/>
          </w:tcPr>
          <w:p>
            <w:r>
              <w:rPr>
                <w:color w:val="444444"/>
                <w:sz w:val="18"/>
              </w:rPr>
              <w:t>Standard for brand awareness buyers</w:t>
            </w:r>
          </w:p>
        </w:tc>
      </w:tr>
      <w:tr>
        <w:tc>
          <w:tcPr>
            <w:tcW w:type="dxa" w:w="1728"/>
            <w:shd w:val="clear" w:color="auto" w:fill="FFF5F2"/>
            <w:vAlign w:val="center"/>
          </w:tcPr>
          <w:p>
            <w:r>
              <w:rPr>
                <w:color w:val="444444"/>
                <w:sz w:val="18"/>
              </w:rPr>
              <w:t>Daily cap</w:t>
            </w:r>
          </w:p>
        </w:tc>
        <w:tc>
          <w:tcPr>
            <w:tcW w:type="dxa" w:w="2592"/>
            <w:shd w:val="clear" w:color="auto" w:fill="FFF5F2"/>
            <w:vAlign w:val="center"/>
          </w:tcPr>
          <w:p>
            <w:r>
              <w:rPr>
                <w:color w:val="444444"/>
                <w:sz w:val="18"/>
              </w:rPr>
              <w:t>Spend limit per day</w:t>
            </w:r>
          </w:p>
        </w:tc>
        <w:tc>
          <w:tcPr>
            <w:tcW w:type="dxa" w:w="2592"/>
            <w:shd w:val="clear" w:color="auto" w:fill="FFF5F2"/>
            <w:vAlign w:val="center"/>
          </w:tcPr>
          <w:p>
            <w:r>
              <w:rPr>
                <w:color w:val="444444"/>
                <w:sz w:val="18"/>
              </w:rPr>
              <w:t>Advertiser-set</w:t>
            </w:r>
          </w:p>
        </w:tc>
        <w:tc>
          <w:tcPr>
            <w:tcW w:type="dxa" w:w="3168"/>
            <w:shd w:val="clear" w:color="auto" w:fill="FFF5F2"/>
            <w:vAlign w:val="center"/>
          </w:tcPr>
          <w:p>
            <w:r>
              <w:rPr>
                <w:color w:val="444444"/>
                <w:sz w:val="18"/>
              </w:rPr>
              <w:t>Prevents overspend on viral streams</w:t>
            </w:r>
          </w:p>
        </w:tc>
      </w:tr>
    </w:tbl>
    <w:p>
      <w:pPr>
        <w:spacing w:after="80"/>
      </w:pPr>
    </w:p>
    <w:p>
      <w:pPr>
        <w:spacing w:before="360" w:after="80"/>
      </w:pPr>
      <w:r>
        <w:rPr>
          <w:b/>
          <w:color w:val="FF7043"/>
          <w:sz w:val="28"/>
        </w:rPr>
        <w:t>10. Agency Channel Programme</w:t>
      </w:r>
    </w:p>
    <w:p>
      <w:pPr>
        <w:pBdr>
          <w:bottom w:val="single" w:sz="6" w:space="1" w:color="FF7043"/>
        </w:pBdr>
        <w:spacing w:after="0"/>
      </w:pPr>
    </w:p>
    <w:p>
      <w:pPr>
        <w:spacing w:before="240" w:after="40"/>
      </w:pPr>
      <w:r>
        <w:rPr>
          <w:b/>
          <w:color w:val="111010"/>
          <w:sz w:val="22"/>
        </w:rPr>
        <w:t>10.1  Programme Tiers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val="clear" w:color="auto" w:fill="FF7043"/>
            <w:vAlign w:val="center"/>
          </w:tcPr>
          <w:p>
            <w:pPr>
              <w:jc w:val="left"/>
            </w:pPr>
            <w:r>
              <w:rPr>
                <w:b/>
                <w:color w:val="FFFFFF"/>
                <w:sz w:val="18"/>
              </w:rPr>
              <w:t>Tier</w:t>
            </w:r>
          </w:p>
        </w:tc>
        <w:tc>
          <w:tcPr>
            <w:tcW w:type="dxa" w:w="2016"/>
            <w:shd w:val="clear" w:color="auto" w:fill="FF7043"/>
            <w:vAlign w:val="center"/>
          </w:tcPr>
          <w:p>
            <w:pPr>
              <w:jc w:val="left"/>
            </w:pPr>
            <w:r>
              <w:rPr>
                <w:b/>
                <w:color w:val="FFFFFF"/>
                <w:sz w:val="18"/>
              </w:rPr>
              <w:t>Minimum spend</w:t>
            </w:r>
          </w:p>
        </w:tc>
        <w:tc>
          <w:tcPr>
            <w:tcW w:type="dxa" w:w="3744"/>
            <w:shd w:val="clear" w:color="auto" w:fill="FF7043"/>
            <w:vAlign w:val="center"/>
          </w:tcPr>
          <w:p>
            <w:pPr>
              <w:jc w:val="left"/>
            </w:pPr>
            <w:r>
              <w:rPr>
                <w:b/>
                <w:color w:val="FFFFFF"/>
                <w:sz w:val="18"/>
              </w:rPr>
              <w:t>What Qaramia provides</w:t>
            </w:r>
          </w:p>
        </w:tc>
        <w:tc>
          <w:tcPr>
            <w:tcW w:type="dxa" w:w="2592"/>
            <w:shd w:val="clear" w:color="auto" w:fill="FF7043"/>
            <w:vAlign w:val="center"/>
          </w:tcPr>
          <w:p>
            <w:pPr>
              <w:jc w:val="left"/>
            </w:pPr>
            <w:r>
              <w:rPr>
                <w:b/>
                <w:color w:val="FFFFFF"/>
                <w:sz w:val="18"/>
              </w:rPr>
              <w:t>Reporting</w:t>
            </w:r>
          </w:p>
        </w:tc>
      </w:tr>
      <w:tr>
        <w:tc>
          <w:tcPr>
            <w:tcW w:type="dxa" w:w="1728"/>
            <w:shd w:val="clear" w:color="auto" w:fill="FFF5F2"/>
            <w:vAlign w:val="center"/>
          </w:tcPr>
          <w:p>
            <w:r>
              <w:rPr>
                <w:color w:val="444444"/>
                <w:sz w:val="18"/>
              </w:rPr>
              <w:t>Standard</w:t>
            </w:r>
          </w:p>
        </w:tc>
        <w:tc>
          <w:tcPr>
            <w:tcW w:type="dxa" w:w="2016"/>
            <w:shd w:val="clear" w:color="auto" w:fill="FFF5F2"/>
            <w:vAlign w:val="center"/>
          </w:tcPr>
          <w:p>
            <w:r>
              <w:rPr>
                <w:color w:val="444444"/>
                <w:sz w:val="18"/>
              </w:rPr>
              <w:t>$5K/month</w:t>
            </w:r>
          </w:p>
        </w:tc>
        <w:tc>
          <w:tcPr>
            <w:tcW w:type="dxa" w:w="3744"/>
            <w:shd w:val="clear" w:color="auto" w:fill="FFF5F2"/>
            <w:vAlign w:val="center"/>
          </w:tcPr>
          <w:p>
            <w:r>
              <w:rPr>
                <w:color w:val="444444"/>
                <w:sz w:val="18"/>
              </w:rPr>
              <w:t>Self-serve access + email support</w:t>
            </w:r>
          </w:p>
        </w:tc>
        <w:tc>
          <w:tcPr>
            <w:tcW w:type="dxa" w:w="2592"/>
            <w:shd w:val="clear" w:color="auto" w:fill="FFF5F2"/>
            <w:vAlign w:val="center"/>
          </w:tcPr>
          <w:p>
            <w:r>
              <w:rPr>
                <w:color w:val="444444"/>
                <w:sz w:val="18"/>
              </w:rPr>
              <w:t>Dashboard only</w:t>
            </w:r>
          </w:p>
        </w:tc>
      </w:tr>
      <w:tr>
        <w:tc>
          <w:tcPr>
            <w:tcW w:type="dxa" w:w="1728"/>
            <w:shd w:val="clear" w:color="auto" w:fill="FFFFFF"/>
            <w:vAlign w:val="center"/>
          </w:tcPr>
          <w:p>
            <w:r>
              <w:rPr>
                <w:color w:val="444444"/>
                <w:sz w:val="18"/>
              </w:rPr>
              <w:t>Partner</w:t>
            </w:r>
          </w:p>
        </w:tc>
        <w:tc>
          <w:tcPr>
            <w:tcW w:type="dxa" w:w="2016"/>
            <w:shd w:val="clear" w:color="auto" w:fill="FFFFFF"/>
            <w:vAlign w:val="center"/>
          </w:tcPr>
          <w:p>
            <w:r>
              <w:rPr>
                <w:color w:val="444444"/>
                <w:sz w:val="18"/>
              </w:rPr>
              <w:t>$20K/month</w:t>
            </w:r>
          </w:p>
        </w:tc>
        <w:tc>
          <w:tcPr>
            <w:tcW w:type="dxa" w:w="3744"/>
            <w:shd w:val="clear" w:color="auto" w:fill="FFFFFF"/>
            <w:vAlign w:val="center"/>
          </w:tcPr>
          <w:p>
            <w:r>
              <w:rPr>
                <w:color w:val="444444"/>
                <w:sz w:val="18"/>
              </w:rPr>
              <w:t>Dedicated account manager + campaign setup</w:t>
            </w:r>
          </w:p>
        </w:tc>
        <w:tc>
          <w:tcPr>
            <w:tcW w:type="dxa" w:w="2592"/>
            <w:shd w:val="clear" w:color="auto" w:fill="FFFFFF"/>
            <w:vAlign w:val="center"/>
          </w:tcPr>
          <w:p>
            <w:r>
              <w:rPr>
                <w:color w:val="444444"/>
                <w:sz w:val="18"/>
              </w:rPr>
              <w:t>Monthly PDF + dashboard</w:t>
            </w:r>
          </w:p>
        </w:tc>
      </w:tr>
      <w:tr>
        <w:tc>
          <w:tcPr>
            <w:tcW w:type="dxa" w:w="1728"/>
            <w:shd w:val="clear" w:color="auto" w:fill="FFF5F2"/>
            <w:vAlign w:val="center"/>
          </w:tcPr>
          <w:p>
            <w:r>
              <w:rPr>
                <w:color w:val="444444"/>
                <w:sz w:val="18"/>
              </w:rPr>
              <w:t>Preferred</w:t>
            </w:r>
          </w:p>
        </w:tc>
        <w:tc>
          <w:tcPr>
            <w:tcW w:type="dxa" w:w="2016"/>
            <w:shd w:val="clear" w:color="auto" w:fill="FFF5F2"/>
            <w:vAlign w:val="center"/>
          </w:tcPr>
          <w:p>
            <w:r>
              <w:rPr>
                <w:color w:val="444444"/>
                <w:sz w:val="18"/>
              </w:rPr>
              <w:t>$75K/month</w:t>
            </w:r>
          </w:p>
        </w:tc>
        <w:tc>
          <w:tcPr>
            <w:tcW w:type="dxa" w:w="3744"/>
            <w:shd w:val="clear" w:color="auto" w:fill="FFF5F2"/>
            <w:vAlign w:val="center"/>
          </w:tcPr>
          <w:p>
            <w:r>
              <w:rPr>
                <w:color w:val="444444"/>
                <w:sz w:val="18"/>
              </w:rPr>
              <w:t>First-look inventory, custom integration, co-marketing</w:t>
            </w:r>
          </w:p>
        </w:tc>
        <w:tc>
          <w:tcPr>
            <w:tcW w:type="dxa" w:w="2592"/>
            <w:shd w:val="clear" w:color="auto" w:fill="FFF5F2"/>
            <w:vAlign w:val="center"/>
          </w:tcPr>
          <w:p>
            <w:r>
              <w:rPr>
                <w:color w:val="444444"/>
                <w:sz w:val="18"/>
              </w:rPr>
              <w:t>Weekly call + full data export</w:t>
            </w:r>
          </w:p>
        </w:tc>
      </w:tr>
    </w:tbl>
    <w:p>
      <w:pPr>
        <w:spacing w:after="80"/>
      </w:pPr>
    </w:p>
    <w:p>
      <w:pPr>
        <w:spacing w:before="240" w:after="40"/>
      </w:pPr>
      <w:r>
        <w:rPr>
          <w:b/>
          <w:color w:val="111010"/>
          <w:sz w:val="22"/>
        </w:rPr>
        <w:t>10.2  Agency Portal Requirements</w:t>
      </w:r>
    </w:p>
    <w:p>
      <w:pPr>
        <w:spacing w:before="40" w:after="80"/>
      </w:pPr>
      <w:r>
        <w:rPr>
          <w:color w:val="444444"/>
          <w:sz w:val="20"/>
        </w:rPr>
        <w:t>The following product features must exist before agency outreach begins:</w:t>
      </w:r>
    </w:p>
    <w:p>
      <w:pPr>
        <w:pStyle w:val="ListBullet"/>
        <w:spacing w:before="20" w:after="20"/>
        <w:ind w:left="340"/>
      </w:pPr>
      <w:r>
        <w:rPr>
          <w:color w:val="444444"/>
          <w:sz w:val="20"/>
        </w:rPr>
        <w:t>Insertion order (IO) template — standard PDF contract with CPM/CPC rate, flight dates, budget cap, cancellation clause.</w:t>
      </w:r>
    </w:p>
    <w:p>
      <w:pPr>
        <w:pStyle w:val="ListBullet"/>
        <w:spacing w:before="20" w:after="20"/>
        <w:ind w:left="340"/>
      </w:pPr>
      <w:r>
        <w:rPr>
          <w:color w:val="444444"/>
          <w:sz w:val="20"/>
        </w:rPr>
        <w:t>Bulk campaign management — agencies manage multiple brand accounts; the UI must support advertiser sub-accounts under one agency login.</w:t>
      </w:r>
    </w:p>
    <w:p>
      <w:pPr>
        <w:pStyle w:val="ListBullet"/>
        <w:spacing w:before="20" w:after="20"/>
        <w:ind w:left="340"/>
      </w:pPr>
      <w:r>
        <w:rPr>
          <w:color w:val="444444"/>
          <w:sz w:val="20"/>
        </w:rPr>
        <w:t>Brand safety blocklist — UI to exclude specific streamers or categories.</w:t>
      </w:r>
    </w:p>
    <w:p>
      <w:pPr>
        <w:pStyle w:val="ListBullet"/>
        <w:spacing w:before="20" w:after="20"/>
        <w:ind w:left="340"/>
      </w:pPr>
      <w:r>
        <w:rPr>
          <w:color w:val="444444"/>
          <w:sz w:val="20"/>
        </w:rPr>
        <w:t>Audience card — per-stream-category card showing viewer count range, gender split, age range, top geographies.</w:t>
      </w:r>
    </w:p>
    <w:p>
      <w:pPr>
        <w:pStyle w:val="ListBullet"/>
        <w:spacing w:before="20" w:after="20"/>
        <w:ind w:left="340"/>
      </w:pPr>
      <w:r>
        <w:rPr>
          <w:color w:val="444444"/>
          <w:sz w:val="20"/>
        </w:rPr>
        <w:t>Monthly invoice via Stripe — agency finance teams require structured invoicing, not ad-hoc charges.</w:t>
      </w:r>
    </w:p>
    <w:p>
      <w:pPr>
        <w:spacing w:before="240" w:after="40"/>
      </w:pPr>
      <w:r>
        <w:rPr>
          <w:b/>
          <w:color w:val="111010"/>
          <w:sz w:val="22"/>
        </w:rPr>
        <w:t>10.3  Sales Motion</w:t>
      </w:r>
    </w:p>
    <w:p>
      <w:pPr>
        <w:pStyle w:val="ListBullet"/>
        <w:spacing w:before="20" w:after="20"/>
        <w:ind w:left="340"/>
      </w:pPr>
      <w:r>
        <w:rPr>
          <w:color w:val="444444"/>
          <w:sz w:val="20"/>
        </w:rPr>
        <w:t>Target: influencer-marketing and performance-marketing agencies already running TikTok, YouTube, and Meta campaigns.</w:t>
      </w:r>
    </w:p>
    <w:p>
      <w:pPr>
        <w:pStyle w:val="ListBullet"/>
        <w:spacing w:before="20" w:after="20"/>
        <w:ind w:left="340"/>
      </w:pPr>
      <w:r>
        <w:rPr>
          <w:color w:val="444444"/>
          <w:sz w:val="20"/>
        </w:rPr>
        <w:t>Lead with the Phase 1 case study data — CTR uplift vs pre-roll in the same category.</w:t>
      </w:r>
    </w:p>
    <w:p>
      <w:pPr>
        <w:pStyle w:val="ListBullet"/>
        <w:spacing w:before="20" w:after="20"/>
        <w:ind w:left="340"/>
      </w:pPr>
      <w:r>
        <w:rPr>
          <w:color w:val="444444"/>
          <w:sz w:val="20"/>
        </w:rPr>
        <w:t>Offer a free pilot: 30-day managed campaign, $0 cost, full data rights retained by Qaramia.</w:t>
      </w:r>
    </w:p>
    <w:p>
      <w:pPr>
        <w:pStyle w:val="ListBullet"/>
        <w:spacing w:before="20" w:after="20"/>
        <w:ind w:left="340"/>
      </w:pPr>
      <w:r>
        <w:rPr>
          <w:color w:val="444444"/>
          <w:sz w:val="20"/>
        </w:rPr>
        <w:t>Follow-up with a paid proposal at Partner tier.</w:t>
      </w:r>
    </w:p>
    <w:p>
      <w:pPr>
        <w:spacing w:before="360" w:after="80"/>
      </w:pPr>
      <w:r>
        <w:rPr>
          <w:b/>
          <w:color w:val="FF7043"/>
          <w:sz w:val="28"/>
        </w:rPr>
        <w:t>11. Programmatic Demand Integration</w:t>
      </w:r>
    </w:p>
    <w:p>
      <w:pPr>
        <w:pBdr>
          <w:bottom w:val="single" w:sz="6" w:space="1" w:color="FF7043"/>
        </w:pBdr>
        <w:spacing w:after="0"/>
      </w:pPr>
    </w:p>
    <w:p>
      <w:pPr>
        <w:spacing w:before="40" w:after="80"/>
      </w:pPr>
      <w:r>
        <w:rPr>
          <w:color w:val="444444"/>
          <w:sz w:val="20"/>
        </w:rPr>
        <w:t>Programmatic integration is a Phase 3 capability that converts Qaramia's proprietary product-detection events into standard OpenRTB bid requests, enabling any DSP to bid on Qaramia inventory without a direct commercial relationship.</w:t>
      </w:r>
    </w:p>
    <w:p>
      <w:pPr>
        <w:spacing w:before="240" w:after="40"/>
      </w:pPr>
      <w:r>
        <w:rPr>
          <w:b/>
          <w:color w:val="111010"/>
          <w:sz w:val="22"/>
        </w:rPr>
        <w:t>11.1  Bid Request Enrichment</w:t>
      </w:r>
    </w:p>
    <w:p>
      <w:pPr>
        <w:spacing w:before="40" w:after="80"/>
      </w:pPr>
      <w:r>
        <w:rPr>
          <w:color w:val="444444"/>
          <w:sz w:val="20"/>
        </w:rPr>
        <w:t>Each product detection event that produces a featuredAd slot becomes a bid request with:</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FF7043"/>
            <w:vAlign w:val="center"/>
          </w:tcPr>
          <w:p>
            <w:pPr>
              <w:jc w:val="left"/>
            </w:pPr>
            <w:r>
              <w:rPr>
                <w:b/>
                <w:color w:val="FFFFFF"/>
                <w:sz w:val="18"/>
              </w:rPr>
              <w:t>Field</w:t>
            </w:r>
          </w:p>
        </w:tc>
        <w:tc>
          <w:tcPr>
            <w:tcW w:type="dxa" w:w="2880"/>
            <w:shd w:val="clear" w:color="auto" w:fill="FF7043"/>
            <w:vAlign w:val="center"/>
          </w:tcPr>
          <w:p>
            <w:pPr>
              <w:jc w:val="left"/>
            </w:pPr>
            <w:r>
              <w:rPr>
                <w:b/>
                <w:color w:val="FFFFFF"/>
                <w:sz w:val="18"/>
              </w:rPr>
              <w:t>Source</w:t>
            </w:r>
          </w:p>
        </w:tc>
        <w:tc>
          <w:tcPr>
            <w:tcW w:type="dxa" w:w="2880"/>
            <w:shd w:val="clear" w:color="auto" w:fill="FF7043"/>
            <w:vAlign w:val="center"/>
          </w:tcPr>
          <w:p>
            <w:pPr>
              <w:jc w:val="left"/>
            </w:pPr>
            <w:r>
              <w:rPr>
                <w:b/>
                <w:color w:val="FFFFFF"/>
                <w:sz w:val="18"/>
              </w:rPr>
              <w:t>Example value</w:t>
            </w:r>
          </w:p>
        </w:tc>
      </w:tr>
      <w:tr>
        <w:tc>
          <w:tcPr>
            <w:tcW w:type="dxa" w:w="3168"/>
            <w:shd w:val="clear" w:color="auto" w:fill="FFF5F2"/>
            <w:vAlign w:val="center"/>
          </w:tcPr>
          <w:p>
            <w:r>
              <w:rPr>
                <w:color w:val="444444"/>
                <w:sz w:val="18"/>
              </w:rPr>
              <w:t>imp.native.title</w:t>
            </w:r>
          </w:p>
        </w:tc>
        <w:tc>
          <w:tcPr>
            <w:tcW w:type="dxa" w:w="2880"/>
            <w:shd w:val="clear" w:color="auto" w:fill="FFF5F2"/>
            <w:vAlign w:val="center"/>
          </w:tcPr>
          <w:p>
            <w:r>
              <w:rPr>
                <w:color w:val="444444"/>
                <w:sz w:val="18"/>
              </w:rPr>
              <w:t>Ad slot description</w:t>
            </w:r>
          </w:p>
        </w:tc>
        <w:tc>
          <w:tcPr>
            <w:tcW w:type="dxa" w:w="2880"/>
            <w:shd w:val="clear" w:color="auto" w:fill="FFF5F2"/>
            <w:vAlign w:val="center"/>
          </w:tcPr>
          <w:p>
            <w:r>
              <w:rPr>
                <w:color w:val="444444"/>
                <w:sz w:val="18"/>
              </w:rPr>
              <w:t>"Product moment — live stream"</w:t>
            </w:r>
          </w:p>
        </w:tc>
      </w:tr>
      <w:tr>
        <w:tc>
          <w:tcPr>
            <w:tcW w:type="dxa" w:w="3168"/>
            <w:shd w:val="clear" w:color="auto" w:fill="FFFFFF"/>
            <w:vAlign w:val="center"/>
          </w:tcPr>
          <w:p>
            <w:r>
              <w:rPr>
                <w:color w:val="444444"/>
                <w:sz w:val="18"/>
              </w:rPr>
              <w:t>site.cat</w:t>
            </w:r>
          </w:p>
        </w:tc>
        <w:tc>
          <w:tcPr>
            <w:tcW w:type="dxa" w:w="2880"/>
            <w:shd w:val="clear" w:color="auto" w:fill="FFFFFF"/>
            <w:vAlign w:val="center"/>
          </w:tcPr>
          <w:p>
            <w:r>
              <w:rPr>
                <w:color w:val="444444"/>
                <w:sz w:val="18"/>
              </w:rPr>
              <w:t>Product category taxonomy</w:t>
            </w:r>
          </w:p>
        </w:tc>
        <w:tc>
          <w:tcPr>
            <w:tcW w:type="dxa" w:w="2880"/>
            <w:shd w:val="clear" w:color="auto" w:fill="FFFFFF"/>
            <w:vAlign w:val="center"/>
          </w:tcPr>
          <w:p>
            <w:r>
              <w:rPr>
                <w:color w:val="444444"/>
                <w:sz w:val="18"/>
              </w:rPr>
              <w:t>"IAB18" (style &amp; fashion)</w:t>
            </w:r>
          </w:p>
        </w:tc>
      </w:tr>
      <w:tr>
        <w:tc>
          <w:tcPr>
            <w:tcW w:type="dxa" w:w="3168"/>
            <w:shd w:val="clear" w:color="auto" w:fill="FFF5F2"/>
            <w:vAlign w:val="center"/>
          </w:tcPr>
          <w:p>
            <w:r>
              <w:rPr>
                <w:color w:val="444444"/>
                <w:sz w:val="18"/>
              </w:rPr>
              <w:t>ext.qaramia.product</w:t>
            </w:r>
          </w:p>
        </w:tc>
        <w:tc>
          <w:tcPr>
            <w:tcW w:type="dxa" w:w="2880"/>
            <w:shd w:val="clear" w:color="auto" w:fill="FFF5F2"/>
            <w:vAlign w:val="center"/>
          </w:tcPr>
          <w:p>
            <w:r>
              <w:rPr>
                <w:color w:val="444444"/>
                <w:sz w:val="18"/>
              </w:rPr>
              <w:t>Detected product brand + name</w:t>
            </w:r>
          </w:p>
        </w:tc>
        <w:tc>
          <w:tcPr>
            <w:tcW w:type="dxa" w:w="2880"/>
            <w:shd w:val="clear" w:color="auto" w:fill="FFF5F2"/>
            <w:vAlign w:val="center"/>
          </w:tcPr>
          <w:p>
            <w:r>
              <w:rPr>
                <w:color w:val="444444"/>
                <w:sz w:val="18"/>
              </w:rPr>
              <w:t>"Nike Air Max 90"</w:t>
            </w:r>
          </w:p>
        </w:tc>
      </w:tr>
      <w:tr>
        <w:tc>
          <w:tcPr>
            <w:tcW w:type="dxa" w:w="3168"/>
            <w:shd w:val="clear" w:color="auto" w:fill="FFFFFF"/>
            <w:vAlign w:val="center"/>
          </w:tcPr>
          <w:p>
            <w:r>
              <w:rPr>
                <w:color w:val="444444"/>
                <w:sz w:val="18"/>
              </w:rPr>
              <w:t>ext.qaramia.confidence</w:t>
            </w:r>
          </w:p>
        </w:tc>
        <w:tc>
          <w:tcPr>
            <w:tcW w:type="dxa" w:w="2880"/>
            <w:shd w:val="clear" w:color="auto" w:fill="FFFFFF"/>
            <w:vAlign w:val="center"/>
          </w:tcPr>
          <w:p>
            <w:r>
              <w:rPr>
                <w:color w:val="444444"/>
                <w:sz w:val="18"/>
              </w:rPr>
              <w:t>Detection confidence score 0–1</w:t>
            </w:r>
          </w:p>
        </w:tc>
        <w:tc>
          <w:tcPr>
            <w:tcW w:type="dxa" w:w="2880"/>
            <w:shd w:val="clear" w:color="auto" w:fill="FFFFFF"/>
            <w:vAlign w:val="center"/>
          </w:tcPr>
          <w:p>
            <w:r>
              <w:rPr>
                <w:color w:val="444444"/>
                <w:sz w:val="18"/>
              </w:rPr>
              <w:t>"0.91"</w:t>
            </w:r>
          </w:p>
        </w:tc>
      </w:tr>
      <w:tr>
        <w:tc>
          <w:tcPr>
            <w:tcW w:type="dxa" w:w="3168"/>
            <w:shd w:val="clear" w:color="auto" w:fill="FFF5F2"/>
            <w:vAlign w:val="center"/>
          </w:tcPr>
          <w:p>
            <w:r>
              <w:rPr>
                <w:color w:val="444444"/>
                <w:sz w:val="18"/>
              </w:rPr>
              <w:t>ext.qaramia.viewers</w:t>
            </w:r>
          </w:p>
        </w:tc>
        <w:tc>
          <w:tcPr>
            <w:tcW w:type="dxa" w:w="2880"/>
            <w:shd w:val="clear" w:color="auto" w:fill="FFF5F2"/>
            <w:vAlign w:val="center"/>
          </w:tcPr>
          <w:p>
            <w:r>
              <w:rPr>
                <w:color w:val="444444"/>
                <w:sz w:val="18"/>
              </w:rPr>
              <w:t>Live viewer count at detection time</w:t>
            </w:r>
          </w:p>
        </w:tc>
        <w:tc>
          <w:tcPr>
            <w:tcW w:type="dxa" w:w="2880"/>
            <w:shd w:val="clear" w:color="auto" w:fill="FFF5F2"/>
            <w:vAlign w:val="center"/>
          </w:tcPr>
          <w:p>
            <w:r>
              <w:rPr>
                <w:color w:val="444444"/>
                <w:sz w:val="18"/>
              </w:rPr>
              <w:t>"3400"</w:t>
            </w:r>
          </w:p>
        </w:tc>
      </w:tr>
      <w:tr>
        <w:tc>
          <w:tcPr>
            <w:tcW w:type="dxa" w:w="3168"/>
            <w:shd w:val="clear" w:color="auto" w:fill="FFFFFF"/>
            <w:vAlign w:val="center"/>
          </w:tcPr>
          <w:p>
            <w:r>
              <w:rPr>
                <w:color w:val="444444"/>
                <w:sz w:val="18"/>
              </w:rPr>
              <w:t>user.geo.country</w:t>
            </w:r>
          </w:p>
        </w:tc>
        <w:tc>
          <w:tcPr>
            <w:tcW w:type="dxa" w:w="2880"/>
            <w:shd w:val="clear" w:color="auto" w:fill="FFFFFF"/>
            <w:vAlign w:val="center"/>
          </w:tcPr>
          <w:p>
            <w:r>
              <w:rPr>
                <w:color w:val="444444"/>
                <w:sz w:val="18"/>
              </w:rPr>
              <w:t>Viewer locale (aggregated)</w:t>
            </w:r>
          </w:p>
        </w:tc>
        <w:tc>
          <w:tcPr>
            <w:tcW w:type="dxa" w:w="2880"/>
            <w:shd w:val="clear" w:color="auto" w:fill="FFFFFF"/>
            <w:vAlign w:val="center"/>
          </w:tcPr>
          <w:p>
            <w:r>
              <w:rPr>
                <w:color w:val="444444"/>
                <w:sz w:val="18"/>
              </w:rPr>
              <w:t>"US"</w:t>
            </w:r>
          </w:p>
        </w:tc>
      </w:tr>
    </w:tbl>
    <w:p>
      <w:pPr>
        <w:spacing w:after="80"/>
      </w:pPr>
    </w:p>
    <w:p>
      <w:pPr>
        <w:spacing w:before="240" w:after="40"/>
      </w:pPr>
      <w:r>
        <w:rPr>
          <w:b/>
          <w:color w:val="111010"/>
          <w:sz w:val="22"/>
        </w:rPr>
        <w:t>11.2  SSP Partner Recommendation</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FF7043"/>
            <w:vAlign w:val="center"/>
          </w:tcPr>
          <w:p>
            <w:pPr>
              <w:jc w:val="left"/>
            </w:pPr>
            <w:r>
              <w:rPr>
                <w:b/>
                <w:color w:val="FFFFFF"/>
                <w:sz w:val="18"/>
              </w:rPr>
              <w:t>SSP</w:t>
            </w:r>
          </w:p>
        </w:tc>
        <w:tc>
          <w:tcPr>
            <w:tcW w:type="dxa" w:w="4608"/>
            <w:shd w:val="clear" w:color="auto" w:fill="FF7043"/>
            <w:vAlign w:val="center"/>
          </w:tcPr>
          <w:p>
            <w:pPr>
              <w:jc w:val="left"/>
            </w:pPr>
            <w:r>
              <w:rPr>
                <w:b/>
                <w:color w:val="FFFFFF"/>
                <w:sz w:val="18"/>
              </w:rPr>
              <w:t>Strength</w:t>
            </w:r>
          </w:p>
        </w:tc>
        <w:tc>
          <w:tcPr>
            <w:tcW w:type="dxa" w:w="1152"/>
            <w:shd w:val="clear" w:color="auto" w:fill="FF7043"/>
            <w:vAlign w:val="center"/>
          </w:tcPr>
          <w:p>
            <w:pPr>
              <w:jc w:val="left"/>
            </w:pPr>
            <w:r>
              <w:rPr>
                <w:b/>
                <w:color w:val="FFFFFF"/>
                <w:sz w:val="18"/>
              </w:rPr>
              <w:t>Priority</w:t>
            </w:r>
          </w:p>
        </w:tc>
      </w:tr>
      <w:tr>
        <w:tc>
          <w:tcPr>
            <w:tcW w:type="dxa" w:w="2880"/>
            <w:shd w:val="clear" w:color="auto" w:fill="FFF5F2"/>
            <w:vAlign w:val="center"/>
          </w:tcPr>
          <w:p>
            <w:r>
              <w:rPr>
                <w:color w:val="444444"/>
                <w:sz w:val="18"/>
              </w:rPr>
              <w:t>Amazon Publisher Services</w:t>
            </w:r>
          </w:p>
        </w:tc>
        <w:tc>
          <w:tcPr>
            <w:tcW w:type="dxa" w:w="4608"/>
            <w:shd w:val="clear" w:color="auto" w:fill="FFF5F2"/>
            <w:vAlign w:val="center"/>
          </w:tcPr>
          <w:p>
            <w:r>
              <w:rPr>
                <w:color w:val="444444"/>
                <w:sz w:val="18"/>
              </w:rPr>
              <w:t>Strongest demand for product-adjacent content; direct line to Amazon DSP budgets</w:t>
            </w:r>
          </w:p>
        </w:tc>
        <w:tc>
          <w:tcPr>
            <w:tcW w:type="dxa" w:w="1152"/>
            <w:shd w:val="clear" w:color="auto" w:fill="FFF5F2"/>
            <w:vAlign w:val="center"/>
          </w:tcPr>
          <w:p>
            <w:r>
              <w:rPr>
                <w:color w:val="444444"/>
                <w:sz w:val="18"/>
              </w:rPr>
              <w:t>P1</w:t>
            </w:r>
          </w:p>
        </w:tc>
      </w:tr>
      <w:tr>
        <w:tc>
          <w:tcPr>
            <w:tcW w:type="dxa" w:w="2880"/>
            <w:shd w:val="clear" w:color="auto" w:fill="FFFFFF"/>
            <w:vAlign w:val="center"/>
          </w:tcPr>
          <w:p>
            <w:r>
              <w:rPr>
                <w:color w:val="444444"/>
                <w:sz w:val="18"/>
              </w:rPr>
              <w:t>Google Ad Manager</w:t>
            </w:r>
          </w:p>
        </w:tc>
        <w:tc>
          <w:tcPr>
            <w:tcW w:type="dxa" w:w="4608"/>
            <w:shd w:val="clear" w:color="auto" w:fill="FFFFFF"/>
            <w:vAlign w:val="center"/>
          </w:tcPr>
          <w:p>
            <w:r>
              <w:rPr>
                <w:color w:val="444444"/>
                <w:sz w:val="18"/>
              </w:rPr>
              <w:t>Largest demand pool; required for long-term scale</w:t>
            </w:r>
          </w:p>
        </w:tc>
        <w:tc>
          <w:tcPr>
            <w:tcW w:type="dxa" w:w="1152"/>
            <w:shd w:val="clear" w:color="auto" w:fill="FFFFFF"/>
            <w:vAlign w:val="center"/>
          </w:tcPr>
          <w:p>
            <w:r>
              <w:rPr>
                <w:color w:val="444444"/>
                <w:sz w:val="18"/>
              </w:rPr>
              <w:t>P1</w:t>
            </w:r>
          </w:p>
        </w:tc>
      </w:tr>
      <w:tr>
        <w:tc>
          <w:tcPr>
            <w:tcW w:type="dxa" w:w="2880"/>
            <w:shd w:val="clear" w:color="auto" w:fill="FFF5F2"/>
            <w:vAlign w:val="center"/>
          </w:tcPr>
          <w:p>
            <w:r>
              <w:rPr>
                <w:color w:val="444444"/>
                <w:sz w:val="18"/>
              </w:rPr>
              <w:t>Magnite</w:t>
            </w:r>
          </w:p>
        </w:tc>
        <w:tc>
          <w:tcPr>
            <w:tcW w:type="dxa" w:w="4608"/>
            <w:shd w:val="clear" w:color="auto" w:fill="FFF5F2"/>
            <w:vAlign w:val="center"/>
          </w:tcPr>
          <w:p>
            <w:r>
              <w:rPr>
                <w:color w:val="444444"/>
                <w:sz w:val="18"/>
              </w:rPr>
              <w:t>Flexible for novel/non-standard formats; faster integration</w:t>
            </w:r>
          </w:p>
        </w:tc>
        <w:tc>
          <w:tcPr>
            <w:tcW w:type="dxa" w:w="1152"/>
            <w:shd w:val="clear" w:color="auto" w:fill="FFF5F2"/>
            <w:vAlign w:val="center"/>
          </w:tcPr>
          <w:p>
            <w:r>
              <w:rPr>
                <w:color w:val="444444"/>
                <w:sz w:val="18"/>
              </w:rPr>
              <w:t>P2</w:t>
            </w:r>
          </w:p>
        </w:tc>
      </w:tr>
      <w:tr>
        <w:tc>
          <w:tcPr>
            <w:tcW w:type="dxa" w:w="2880"/>
            <w:shd w:val="clear" w:color="auto" w:fill="FFFFFF"/>
            <w:vAlign w:val="center"/>
          </w:tcPr>
          <w:p>
            <w:r>
              <w:rPr>
                <w:color w:val="444444"/>
                <w:sz w:val="18"/>
              </w:rPr>
              <w:t>PubMatic</w:t>
            </w:r>
          </w:p>
        </w:tc>
        <w:tc>
          <w:tcPr>
            <w:tcW w:type="dxa" w:w="4608"/>
            <w:shd w:val="clear" w:color="auto" w:fill="FFFFFF"/>
            <w:vAlign w:val="center"/>
          </w:tcPr>
          <w:p>
            <w:r>
              <w:rPr>
                <w:color w:val="444444"/>
                <w:sz w:val="18"/>
              </w:rPr>
              <w:t>Strong in video and live content environments</w:t>
            </w:r>
          </w:p>
        </w:tc>
        <w:tc>
          <w:tcPr>
            <w:tcW w:type="dxa" w:w="1152"/>
            <w:shd w:val="clear" w:color="auto" w:fill="FFFFFF"/>
            <w:vAlign w:val="center"/>
          </w:tcPr>
          <w:p>
            <w:r>
              <w:rPr>
                <w:color w:val="444444"/>
                <w:sz w:val="18"/>
              </w:rPr>
              <w:t>P2</w:t>
            </w:r>
          </w:p>
        </w:tc>
      </w:tr>
    </w:tbl>
    <w:p>
      <w:pPr>
        <w:spacing w:after="80"/>
      </w:pPr>
    </w:p>
    <w:p>
      <w:pPr>
        <w:spacing w:before="240" w:after="40"/>
      </w:pPr>
      <w:r>
        <w:rPr>
          <w:b/>
          <w:color w:val="111010"/>
          <w:sz w:val="22"/>
        </w:rPr>
        <w:t>11.3  Pre-requisites</w:t>
      </w:r>
    </w:p>
    <w:p>
      <w:pPr>
        <w:pStyle w:val="ListBullet"/>
        <w:spacing w:before="20" w:after="20"/>
        <w:ind w:left="340"/>
      </w:pPr>
      <w:r>
        <w:rPr>
          <w:color w:val="444444"/>
          <w:sz w:val="20"/>
        </w:rPr>
        <w:t>ads.txt and sellers.json files published at the Qaramia domain.</w:t>
      </w:r>
    </w:p>
    <w:p>
      <w:pPr>
        <w:pStyle w:val="ListBullet"/>
        <w:spacing w:before="20" w:after="20"/>
        <w:ind w:left="340"/>
      </w:pPr>
      <w:r>
        <w:rPr>
          <w:color w:val="444444"/>
          <w:sz w:val="20"/>
        </w:rPr>
        <w:t>IAB TCF 2.2 consent signal passed in bid requests.</w:t>
      </w:r>
    </w:p>
    <w:p>
      <w:pPr>
        <w:pStyle w:val="ListBullet"/>
        <w:spacing w:before="20" w:after="20"/>
        <w:ind w:left="340"/>
      </w:pPr>
      <w:r>
        <w:rPr>
          <w:color w:val="444444"/>
          <w:sz w:val="20"/>
        </w:rPr>
        <w:t>OpenRTB 2.6 compliance audit completed.</w:t>
      </w:r>
    </w:p>
    <w:p>
      <w:pPr>
        <w:pStyle w:val="ListBullet"/>
        <w:spacing w:before="20" w:after="20"/>
        <w:ind w:left="340"/>
      </w:pPr>
      <w:r>
        <w:rPr>
          <w:color w:val="444444"/>
          <w:sz w:val="20"/>
        </w:rPr>
        <w:t>Floor prices set per category to protect direct-sold CPM rates.</w:t>
      </w:r>
    </w:p>
    <w:p>
      <w:pPr>
        <w:spacing w:before="360" w:after="80"/>
      </w:pPr>
      <w:r>
        <w:rPr>
          <w:b/>
          <w:color w:val="FF7043"/>
          <w:sz w:val="28"/>
        </w:rPr>
        <w:t>12. Revenue Model by Tier</w:t>
      </w:r>
    </w:p>
    <w:p>
      <w:pPr>
        <w:pBdr>
          <w:bottom w:val="single" w:sz="6" w:space="1" w:color="FF7043"/>
        </w:pBdr>
        <w:spacing w:after="0"/>
      </w:pP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448"/>
            <w:shd w:val="clear" w:color="auto" w:fill="FF7043"/>
            <w:vAlign w:val="center"/>
          </w:tcPr>
          <w:p>
            <w:pPr>
              <w:jc w:val="left"/>
            </w:pPr>
            <w:r>
              <w:rPr>
                <w:b/>
                <w:color w:val="FFFFFF"/>
                <w:sz w:val="18"/>
              </w:rPr>
              <w:t>Tier</w:t>
            </w:r>
          </w:p>
        </w:tc>
        <w:tc>
          <w:tcPr>
            <w:tcW w:type="dxa" w:w="2160"/>
            <w:shd w:val="clear" w:color="auto" w:fill="FF7043"/>
            <w:vAlign w:val="center"/>
          </w:tcPr>
          <w:p>
            <w:pPr>
              <w:jc w:val="left"/>
            </w:pPr>
            <w:r>
              <w:rPr>
                <w:b/>
                <w:color w:val="FFFFFF"/>
                <w:sz w:val="18"/>
              </w:rPr>
              <w:t>Buyer type</w:t>
            </w:r>
          </w:p>
        </w:tc>
        <w:tc>
          <w:tcPr>
            <w:tcW w:type="dxa" w:w="2736"/>
            <w:shd w:val="clear" w:color="auto" w:fill="FF7043"/>
            <w:vAlign w:val="center"/>
          </w:tcPr>
          <w:p>
            <w:pPr>
              <w:jc w:val="left"/>
            </w:pPr>
            <w:r>
              <w:rPr>
                <w:b/>
                <w:color w:val="FFFFFF"/>
                <w:sz w:val="18"/>
              </w:rPr>
              <w:t>Pricing model</w:t>
            </w:r>
          </w:p>
        </w:tc>
        <w:tc>
          <w:tcPr>
            <w:tcW w:type="dxa" w:w="2016"/>
            <w:shd w:val="clear" w:color="auto" w:fill="FF7043"/>
            <w:vAlign w:val="center"/>
          </w:tcPr>
          <w:p>
            <w:pPr>
              <w:jc w:val="left"/>
            </w:pPr>
            <w:r>
              <w:rPr>
                <w:b/>
                <w:color w:val="FFFFFF"/>
                <w:sz w:val="18"/>
              </w:rPr>
              <w:t>Rate</w:t>
            </w:r>
          </w:p>
        </w:tc>
        <w:tc>
          <w:tcPr>
            <w:tcW w:type="dxa" w:w="1152"/>
            <w:shd w:val="clear" w:color="auto" w:fill="FF7043"/>
            <w:vAlign w:val="center"/>
          </w:tcPr>
          <w:p>
            <w:pPr>
              <w:jc w:val="left"/>
            </w:pPr>
            <w:r>
              <w:rPr>
                <w:b/>
                <w:color w:val="FFFFFF"/>
                <w:sz w:val="18"/>
              </w:rPr>
              <w:t>Phase</w:t>
            </w:r>
          </w:p>
        </w:tc>
      </w:tr>
      <w:tr>
        <w:tc>
          <w:tcPr>
            <w:tcW w:type="dxa" w:w="2448"/>
            <w:shd w:val="clear" w:color="auto" w:fill="FFF5F2"/>
            <w:vAlign w:val="center"/>
          </w:tcPr>
          <w:p>
            <w:r>
              <w:rPr>
                <w:color w:val="444444"/>
                <w:sz w:val="18"/>
              </w:rPr>
              <w:t>Affiliate</w:t>
            </w:r>
          </w:p>
        </w:tc>
        <w:tc>
          <w:tcPr>
            <w:tcW w:type="dxa" w:w="2160"/>
            <w:shd w:val="clear" w:color="auto" w:fill="FFF5F2"/>
            <w:vAlign w:val="center"/>
          </w:tcPr>
          <w:p>
            <w:r>
              <w:rPr>
                <w:color w:val="444444"/>
                <w:sz w:val="18"/>
              </w:rPr>
              <w:t>No buyer required</w:t>
            </w:r>
          </w:p>
        </w:tc>
        <w:tc>
          <w:tcPr>
            <w:tcW w:type="dxa" w:w="2736"/>
            <w:shd w:val="clear" w:color="auto" w:fill="FFF5F2"/>
            <w:vAlign w:val="center"/>
          </w:tcPr>
          <w:p>
            <w:r>
              <w:rPr>
                <w:color w:val="444444"/>
                <w:sz w:val="18"/>
              </w:rPr>
              <w:t>Revenue share (Amazon)</w:t>
            </w:r>
          </w:p>
        </w:tc>
        <w:tc>
          <w:tcPr>
            <w:tcW w:type="dxa" w:w="2016"/>
            <w:shd w:val="clear" w:color="auto" w:fill="FFF5F2"/>
            <w:vAlign w:val="center"/>
          </w:tcPr>
          <w:p>
            <w:r>
              <w:rPr>
                <w:color w:val="444444"/>
                <w:sz w:val="18"/>
              </w:rPr>
              <w:t>~5–8% commission</w:t>
            </w:r>
          </w:p>
        </w:tc>
        <w:tc>
          <w:tcPr>
            <w:tcW w:type="dxa" w:w="1152"/>
            <w:shd w:val="clear" w:color="auto" w:fill="FFF5F2"/>
            <w:vAlign w:val="center"/>
          </w:tcPr>
          <w:p>
            <w:r>
              <w:rPr>
                <w:color w:val="444444"/>
                <w:sz w:val="18"/>
              </w:rPr>
              <w:t>0 (now)</w:t>
            </w:r>
          </w:p>
        </w:tc>
      </w:tr>
      <w:tr>
        <w:tc>
          <w:tcPr>
            <w:tcW w:type="dxa" w:w="2448"/>
            <w:shd w:val="clear" w:color="auto" w:fill="FFFFFF"/>
            <w:vAlign w:val="center"/>
          </w:tcPr>
          <w:p>
            <w:r>
              <w:rPr>
                <w:color w:val="444444"/>
                <w:sz w:val="18"/>
              </w:rPr>
              <w:t>Self-serve CPC</w:t>
            </w:r>
          </w:p>
        </w:tc>
        <w:tc>
          <w:tcPr>
            <w:tcW w:type="dxa" w:w="2160"/>
            <w:shd w:val="clear" w:color="auto" w:fill="FFFFFF"/>
            <w:vAlign w:val="center"/>
          </w:tcPr>
          <w:p>
            <w:r>
              <w:rPr>
                <w:color w:val="444444"/>
                <w:sz w:val="18"/>
              </w:rPr>
              <w:t>SMB / DTC brand</w:t>
            </w:r>
          </w:p>
        </w:tc>
        <w:tc>
          <w:tcPr>
            <w:tcW w:type="dxa" w:w="2736"/>
            <w:shd w:val="clear" w:color="auto" w:fill="FFFFFF"/>
            <w:vAlign w:val="center"/>
          </w:tcPr>
          <w:p>
            <w:r>
              <w:rPr>
                <w:color w:val="444444"/>
                <w:sz w:val="18"/>
              </w:rPr>
              <w:t>Cost-per-click</w:t>
            </w:r>
          </w:p>
        </w:tc>
        <w:tc>
          <w:tcPr>
            <w:tcW w:type="dxa" w:w="2016"/>
            <w:shd w:val="clear" w:color="auto" w:fill="FFFFFF"/>
            <w:vAlign w:val="center"/>
          </w:tcPr>
          <w:p>
            <w:r>
              <w:rPr>
                <w:color w:val="444444"/>
                <w:sz w:val="18"/>
              </w:rPr>
              <w:t>$0.50 – $2.00</w:t>
            </w:r>
          </w:p>
        </w:tc>
        <w:tc>
          <w:tcPr>
            <w:tcW w:type="dxa" w:w="1152"/>
            <w:shd w:val="clear" w:color="auto" w:fill="FFFFFF"/>
            <w:vAlign w:val="center"/>
          </w:tcPr>
          <w:p>
            <w:r>
              <w:rPr>
                <w:color w:val="444444"/>
                <w:sz w:val="18"/>
              </w:rPr>
              <w:t>1</w:t>
            </w:r>
          </w:p>
        </w:tc>
      </w:tr>
      <w:tr>
        <w:tc>
          <w:tcPr>
            <w:tcW w:type="dxa" w:w="2448"/>
            <w:shd w:val="clear" w:color="auto" w:fill="FFF5F2"/>
            <w:vAlign w:val="center"/>
          </w:tcPr>
          <w:p>
            <w:r>
              <w:rPr>
                <w:color w:val="444444"/>
                <w:sz w:val="18"/>
              </w:rPr>
              <w:t>Self-serve CPM</w:t>
            </w:r>
          </w:p>
        </w:tc>
        <w:tc>
          <w:tcPr>
            <w:tcW w:type="dxa" w:w="2160"/>
            <w:shd w:val="clear" w:color="auto" w:fill="FFF5F2"/>
            <w:vAlign w:val="center"/>
          </w:tcPr>
          <w:p>
            <w:r>
              <w:rPr>
                <w:color w:val="444444"/>
                <w:sz w:val="18"/>
              </w:rPr>
              <w:t>SMB / DTC brand</w:t>
            </w:r>
          </w:p>
        </w:tc>
        <w:tc>
          <w:tcPr>
            <w:tcW w:type="dxa" w:w="2736"/>
            <w:shd w:val="clear" w:color="auto" w:fill="FFF5F2"/>
            <w:vAlign w:val="center"/>
          </w:tcPr>
          <w:p>
            <w:r>
              <w:rPr>
                <w:color w:val="444444"/>
                <w:sz w:val="18"/>
              </w:rPr>
              <w:t>Cost-per-thousand impressions</w:t>
            </w:r>
          </w:p>
        </w:tc>
        <w:tc>
          <w:tcPr>
            <w:tcW w:type="dxa" w:w="2016"/>
            <w:shd w:val="clear" w:color="auto" w:fill="FFF5F2"/>
            <w:vAlign w:val="center"/>
          </w:tcPr>
          <w:p>
            <w:r>
              <w:rPr>
                <w:color w:val="444444"/>
                <w:sz w:val="18"/>
              </w:rPr>
              <w:t>$12 – $25</w:t>
            </w:r>
          </w:p>
        </w:tc>
        <w:tc>
          <w:tcPr>
            <w:tcW w:type="dxa" w:w="1152"/>
            <w:shd w:val="clear" w:color="auto" w:fill="FFF5F2"/>
            <w:vAlign w:val="center"/>
          </w:tcPr>
          <w:p>
            <w:r>
              <w:rPr>
                <w:color w:val="444444"/>
                <w:sz w:val="18"/>
              </w:rPr>
              <w:t>1</w:t>
            </w:r>
          </w:p>
        </w:tc>
      </w:tr>
      <w:tr>
        <w:tc>
          <w:tcPr>
            <w:tcW w:type="dxa" w:w="2448"/>
            <w:shd w:val="clear" w:color="auto" w:fill="FFFFFF"/>
            <w:vAlign w:val="center"/>
          </w:tcPr>
          <w:p>
            <w:r>
              <w:rPr>
                <w:color w:val="444444"/>
                <w:sz w:val="18"/>
              </w:rPr>
              <w:t>Anchor / managed CPM</w:t>
            </w:r>
          </w:p>
        </w:tc>
        <w:tc>
          <w:tcPr>
            <w:tcW w:type="dxa" w:w="2160"/>
            <w:shd w:val="clear" w:color="auto" w:fill="FFFFFF"/>
            <w:vAlign w:val="center"/>
          </w:tcPr>
          <w:p>
            <w:r>
              <w:rPr>
                <w:color w:val="444444"/>
                <w:sz w:val="18"/>
              </w:rPr>
              <w:t>Mid-market brand</w:t>
            </w:r>
          </w:p>
        </w:tc>
        <w:tc>
          <w:tcPr>
            <w:tcW w:type="dxa" w:w="2736"/>
            <w:shd w:val="clear" w:color="auto" w:fill="FFFFFF"/>
            <w:vAlign w:val="center"/>
          </w:tcPr>
          <w:p>
            <w:r>
              <w:rPr>
                <w:color w:val="444444"/>
                <w:sz w:val="18"/>
              </w:rPr>
              <w:t>Flat managed CPM</w:t>
            </w:r>
          </w:p>
        </w:tc>
        <w:tc>
          <w:tcPr>
            <w:tcW w:type="dxa" w:w="2016"/>
            <w:shd w:val="clear" w:color="auto" w:fill="FFFFFF"/>
            <w:vAlign w:val="center"/>
          </w:tcPr>
          <w:p>
            <w:r>
              <w:rPr>
                <w:color w:val="444444"/>
                <w:sz w:val="18"/>
              </w:rPr>
              <w:t>$25 – $40</w:t>
            </w:r>
          </w:p>
        </w:tc>
        <w:tc>
          <w:tcPr>
            <w:tcW w:type="dxa" w:w="1152"/>
            <w:shd w:val="clear" w:color="auto" w:fill="FFFFFF"/>
            <w:vAlign w:val="center"/>
          </w:tcPr>
          <w:p>
            <w:r>
              <w:rPr>
                <w:color w:val="444444"/>
                <w:sz w:val="18"/>
              </w:rPr>
              <w:t>1–2</w:t>
            </w:r>
          </w:p>
        </w:tc>
      </w:tr>
      <w:tr>
        <w:tc>
          <w:tcPr>
            <w:tcW w:type="dxa" w:w="2448"/>
            <w:shd w:val="clear" w:color="auto" w:fill="FFF5F2"/>
            <w:vAlign w:val="center"/>
          </w:tcPr>
          <w:p>
            <w:r>
              <w:rPr>
                <w:color w:val="444444"/>
                <w:sz w:val="18"/>
              </w:rPr>
              <w:t>Category sponsorship</w:t>
            </w:r>
          </w:p>
        </w:tc>
        <w:tc>
          <w:tcPr>
            <w:tcW w:type="dxa" w:w="2160"/>
            <w:shd w:val="clear" w:color="auto" w:fill="FFF5F2"/>
            <w:vAlign w:val="center"/>
          </w:tcPr>
          <w:p>
            <w:r>
              <w:rPr>
                <w:color w:val="444444"/>
                <w:sz w:val="18"/>
              </w:rPr>
              <w:t>Anchor brand</w:t>
            </w:r>
          </w:p>
        </w:tc>
        <w:tc>
          <w:tcPr>
            <w:tcW w:type="dxa" w:w="2736"/>
            <w:shd w:val="clear" w:color="auto" w:fill="FFF5F2"/>
            <w:vAlign w:val="center"/>
          </w:tcPr>
          <w:p>
            <w:r>
              <w:rPr>
                <w:color w:val="444444"/>
                <w:sz w:val="18"/>
              </w:rPr>
              <w:t>Flat monthly</w:t>
            </w:r>
          </w:p>
        </w:tc>
        <w:tc>
          <w:tcPr>
            <w:tcW w:type="dxa" w:w="2016"/>
            <w:shd w:val="clear" w:color="auto" w:fill="FFF5F2"/>
            <w:vAlign w:val="center"/>
          </w:tcPr>
          <w:p>
            <w:r>
              <w:rPr>
                <w:color w:val="444444"/>
                <w:sz w:val="18"/>
              </w:rPr>
              <w:t>$5K – $25K/mo</w:t>
            </w:r>
          </w:p>
        </w:tc>
        <w:tc>
          <w:tcPr>
            <w:tcW w:type="dxa" w:w="1152"/>
            <w:shd w:val="clear" w:color="auto" w:fill="FFF5F2"/>
            <w:vAlign w:val="center"/>
          </w:tcPr>
          <w:p>
            <w:r>
              <w:rPr>
                <w:color w:val="444444"/>
                <w:sz w:val="18"/>
              </w:rPr>
              <w:t>2</w:t>
            </w:r>
          </w:p>
        </w:tc>
      </w:tr>
      <w:tr>
        <w:tc>
          <w:tcPr>
            <w:tcW w:type="dxa" w:w="2448"/>
            <w:shd w:val="clear" w:color="auto" w:fill="FFFFFF"/>
            <w:vAlign w:val="center"/>
          </w:tcPr>
          <w:p>
            <w:r>
              <w:rPr>
                <w:color w:val="444444"/>
                <w:sz w:val="18"/>
              </w:rPr>
              <w:t>Agency managed</w:t>
            </w:r>
          </w:p>
        </w:tc>
        <w:tc>
          <w:tcPr>
            <w:tcW w:type="dxa" w:w="2160"/>
            <w:shd w:val="clear" w:color="auto" w:fill="FFFFFF"/>
            <w:vAlign w:val="center"/>
          </w:tcPr>
          <w:p>
            <w:r>
              <w:rPr>
                <w:color w:val="444444"/>
                <w:sz w:val="18"/>
              </w:rPr>
              <w:t>Agency on behalf</w:t>
            </w:r>
          </w:p>
        </w:tc>
        <w:tc>
          <w:tcPr>
            <w:tcW w:type="dxa" w:w="2736"/>
            <w:shd w:val="clear" w:color="auto" w:fill="FFFFFF"/>
            <w:vAlign w:val="center"/>
          </w:tcPr>
          <w:p>
            <w:r>
              <w:rPr>
                <w:color w:val="444444"/>
                <w:sz w:val="18"/>
              </w:rPr>
              <w:t>Negotiated CPM + management fee</w:t>
            </w:r>
          </w:p>
        </w:tc>
        <w:tc>
          <w:tcPr>
            <w:tcW w:type="dxa" w:w="2016"/>
            <w:shd w:val="clear" w:color="auto" w:fill="FFFFFF"/>
            <w:vAlign w:val="center"/>
          </w:tcPr>
          <w:p>
            <w:r>
              <w:rPr>
                <w:color w:val="444444"/>
                <w:sz w:val="18"/>
              </w:rPr>
              <w:t>$15 – $35 CPM</w:t>
            </w:r>
          </w:p>
        </w:tc>
        <w:tc>
          <w:tcPr>
            <w:tcW w:type="dxa" w:w="1152"/>
            <w:shd w:val="clear" w:color="auto" w:fill="FFFFFF"/>
            <w:vAlign w:val="center"/>
          </w:tcPr>
          <w:p>
            <w:r>
              <w:rPr>
                <w:color w:val="444444"/>
                <w:sz w:val="18"/>
              </w:rPr>
              <w:t>2</w:t>
            </w:r>
          </w:p>
        </w:tc>
      </w:tr>
      <w:tr>
        <w:tc>
          <w:tcPr>
            <w:tcW w:type="dxa" w:w="2448"/>
            <w:shd w:val="clear" w:color="auto" w:fill="FFF5F2"/>
            <w:vAlign w:val="center"/>
          </w:tcPr>
          <w:p>
            <w:r>
              <w:rPr>
                <w:color w:val="444444"/>
                <w:sz w:val="18"/>
              </w:rPr>
              <w:t>Programmatic floor</w:t>
            </w:r>
          </w:p>
        </w:tc>
        <w:tc>
          <w:tcPr>
            <w:tcW w:type="dxa" w:w="2160"/>
            <w:shd w:val="clear" w:color="auto" w:fill="FFF5F2"/>
            <w:vAlign w:val="center"/>
          </w:tcPr>
          <w:p>
            <w:r>
              <w:rPr>
                <w:color w:val="444444"/>
                <w:sz w:val="18"/>
              </w:rPr>
              <w:t>DSP demand</w:t>
            </w:r>
          </w:p>
        </w:tc>
        <w:tc>
          <w:tcPr>
            <w:tcW w:type="dxa" w:w="2736"/>
            <w:shd w:val="clear" w:color="auto" w:fill="FFF5F2"/>
            <w:vAlign w:val="center"/>
          </w:tcPr>
          <w:p>
            <w:r>
              <w:rPr>
                <w:color w:val="444444"/>
                <w:sz w:val="18"/>
              </w:rPr>
              <w:t>Auction (floor price)</w:t>
            </w:r>
          </w:p>
        </w:tc>
        <w:tc>
          <w:tcPr>
            <w:tcW w:type="dxa" w:w="2016"/>
            <w:shd w:val="clear" w:color="auto" w:fill="FFF5F2"/>
            <w:vAlign w:val="center"/>
          </w:tcPr>
          <w:p>
            <w:r>
              <w:rPr>
                <w:color w:val="444444"/>
                <w:sz w:val="18"/>
              </w:rPr>
              <w:t>$8 – $15 CPM</w:t>
            </w:r>
          </w:p>
        </w:tc>
        <w:tc>
          <w:tcPr>
            <w:tcW w:type="dxa" w:w="1152"/>
            <w:shd w:val="clear" w:color="auto" w:fill="FFF5F2"/>
            <w:vAlign w:val="center"/>
          </w:tcPr>
          <w:p>
            <w:r>
              <w:rPr>
                <w:color w:val="444444"/>
                <w:sz w:val="18"/>
              </w:rPr>
              <w:t>3</w:t>
            </w:r>
          </w:p>
        </w:tc>
      </w:tr>
      <w:tr>
        <w:tc>
          <w:tcPr>
            <w:tcW w:type="dxa" w:w="2448"/>
            <w:shd w:val="clear" w:color="auto" w:fill="FFFFFF"/>
            <w:vAlign w:val="center"/>
          </w:tcPr>
          <w:p>
            <w:r>
              <w:rPr>
                <w:color w:val="444444"/>
                <w:sz w:val="18"/>
              </w:rPr>
              <w:t>Programmatic PMP</w:t>
            </w:r>
          </w:p>
        </w:tc>
        <w:tc>
          <w:tcPr>
            <w:tcW w:type="dxa" w:w="2160"/>
            <w:shd w:val="clear" w:color="auto" w:fill="FFFFFF"/>
            <w:vAlign w:val="center"/>
          </w:tcPr>
          <w:p>
            <w:r>
              <w:rPr>
                <w:color w:val="444444"/>
                <w:sz w:val="18"/>
              </w:rPr>
              <w:t>Preferred agency/brand</w:t>
            </w:r>
          </w:p>
        </w:tc>
        <w:tc>
          <w:tcPr>
            <w:tcW w:type="dxa" w:w="2736"/>
            <w:shd w:val="clear" w:color="auto" w:fill="FFFFFF"/>
            <w:vAlign w:val="center"/>
          </w:tcPr>
          <w:p>
            <w:r>
              <w:rPr>
                <w:color w:val="444444"/>
                <w:sz w:val="18"/>
              </w:rPr>
              <w:t>Private marketplace deal</w:t>
            </w:r>
          </w:p>
        </w:tc>
        <w:tc>
          <w:tcPr>
            <w:tcW w:type="dxa" w:w="2016"/>
            <w:shd w:val="clear" w:color="auto" w:fill="FFFFFF"/>
            <w:vAlign w:val="center"/>
          </w:tcPr>
          <w:p>
            <w:r>
              <w:rPr>
                <w:color w:val="444444"/>
                <w:sz w:val="18"/>
              </w:rPr>
              <w:t>$20 – $45 CPM</w:t>
            </w:r>
          </w:p>
        </w:tc>
        <w:tc>
          <w:tcPr>
            <w:tcW w:type="dxa" w:w="1152"/>
            <w:shd w:val="clear" w:color="auto" w:fill="FFFFFF"/>
            <w:vAlign w:val="center"/>
          </w:tcPr>
          <w:p>
            <w:r>
              <w:rPr>
                <w:color w:val="444444"/>
                <w:sz w:val="18"/>
              </w:rPr>
              <w:t>3</w:t>
            </w:r>
          </w:p>
        </w:tc>
      </w:tr>
    </w:tbl>
    <w:p>
      <w:pPr>
        <w:spacing w:after="80"/>
      </w:pPr>
    </w:p>
    <w:p>
      <w:pPr>
        <w:spacing w:before="40" w:after="80"/>
      </w:pPr>
      <w:r>
        <w:rPr>
          <w:color w:val="444444"/>
          <w:sz w:val="20"/>
        </w:rPr>
        <w:t>Affiliate revenue fills the monetisation gap from day one. Self-serve removes dependency on a sales team for early growth. Managed deals fund the team required to close agency relationships. Programmatic converts scale into revenue without proportional sales headcount.</w:t>
      </w:r>
    </w:p>
    <w:p>
      <w:pPr>
        <w:spacing w:before="360" w:after="80"/>
      </w:pPr>
      <w:r>
        <w:rPr>
          <w:b/>
          <w:color w:val="FF7043"/>
          <w:sz w:val="28"/>
        </w:rPr>
        <w:t>13. Streamer Revenue Share</w:t>
      </w:r>
    </w:p>
    <w:p>
      <w:pPr>
        <w:pBdr>
          <w:bottom w:val="single" w:sz="6" w:space="1" w:color="FF7043"/>
        </w:pBdr>
        <w:spacing w:after="0"/>
      </w:pPr>
    </w:p>
    <w:p>
      <w:pPr>
        <w:spacing w:before="40" w:after="80"/>
      </w:pPr>
      <w:r>
        <w:rPr>
          <w:color w:val="444444"/>
          <w:sz w:val="20"/>
        </w:rPr>
        <w:t>Revenue share aligns creator and platform incentives. Streamers who understand that every product they show earns them money have a direct motivation to stream more consistently, in better-lit environments, with higher product visibility — all of which improves ad quality.</w:t>
      </w:r>
    </w:p>
    <w:p>
      <w:pPr>
        <w:spacing w:before="240" w:after="40"/>
      </w:pPr>
      <w:r>
        <w:rPr>
          <w:b/>
          <w:color w:val="111010"/>
          <w:sz w:val="22"/>
        </w:rPr>
        <w:t>13.1  Share Structure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FF7043"/>
            <w:vAlign w:val="center"/>
          </w:tcPr>
          <w:p>
            <w:pPr>
              <w:jc w:val="left"/>
            </w:pPr>
            <w:r>
              <w:rPr>
                <w:b/>
                <w:color w:val="FFFFFF"/>
                <w:sz w:val="18"/>
              </w:rPr>
              <w:t>Revenue source</w:t>
            </w:r>
          </w:p>
        </w:tc>
        <w:tc>
          <w:tcPr>
            <w:tcW w:type="dxa" w:w="1872"/>
            <w:shd w:val="clear" w:color="auto" w:fill="FF7043"/>
            <w:vAlign w:val="center"/>
          </w:tcPr>
          <w:p>
            <w:pPr>
              <w:jc w:val="left"/>
            </w:pPr>
            <w:r>
              <w:rPr>
                <w:b/>
                <w:color w:val="FFFFFF"/>
                <w:sz w:val="18"/>
              </w:rPr>
              <w:t>Platform take</w:t>
            </w:r>
          </w:p>
        </w:tc>
        <w:tc>
          <w:tcPr>
            <w:tcW w:type="dxa" w:w="1872"/>
            <w:shd w:val="clear" w:color="auto" w:fill="FF7043"/>
            <w:vAlign w:val="center"/>
          </w:tcPr>
          <w:p>
            <w:pPr>
              <w:jc w:val="left"/>
            </w:pPr>
            <w:r>
              <w:rPr>
                <w:b/>
                <w:color w:val="FFFFFF"/>
                <w:sz w:val="18"/>
              </w:rPr>
              <w:t>Streamer share</w:t>
            </w:r>
          </w:p>
        </w:tc>
        <w:tc>
          <w:tcPr>
            <w:tcW w:type="dxa" w:w="4032"/>
            <w:shd w:val="clear" w:color="auto" w:fill="FF7043"/>
            <w:vAlign w:val="center"/>
          </w:tcPr>
          <w:p>
            <w:pPr>
              <w:jc w:val="left"/>
            </w:pPr>
            <w:r>
              <w:rPr>
                <w:b/>
                <w:color w:val="FFFFFF"/>
                <w:sz w:val="18"/>
              </w:rPr>
              <w:t>Notes</w:t>
            </w:r>
          </w:p>
        </w:tc>
      </w:tr>
      <w:tr>
        <w:tc>
          <w:tcPr>
            <w:tcW w:type="dxa" w:w="2880"/>
            <w:shd w:val="clear" w:color="auto" w:fill="FFF5F2"/>
            <w:vAlign w:val="center"/>
          </w:tcPr>
          <w:p>
            <w:r>
              <w:rPr>
                <w:color w:val="444444"/>
                <w:sz w:val="18"/>
              </w:rPr>
              <w:t>Direct CPM ad</w:t>
            </w:r>
          </w:p>
        </w:tc>
        <w:tc>
          <w:tcPr>
            <w:tcW w:type="dxa" w:w="1872"/>
            <w:shd w:val="clear" w:color="auto" w:fill="FFF5F2"/>
            <w:vAlign w:val="center"/>
          </w:tcPr>
          <w:p>
            <w:r>
              <w:rPr>
                <w:color w:val="444444"/>
                <w:sz w:val="18"/>
              </w:rPr>
              <w:t>75%</w:t>
            </w:r>
          </w:p>
        </w:tc>
        <w:tc>
          <w:tcPr>
            <w:tcW w:type="dxa" w:w="1872"/>
            <w:shd w:val="clear" w:color="auto" w:fill="FFF5F2"/>
            <w:vAlign w:val="center"/>
          </w:tcPr>
          <w:p>
            <w:r>
              <w:rPr>
                <w:color w:val="444444"/>
                <w:sz w:val="18"/>
              </w:rPr>
              <w:t>25%</w:t>
            </w:r>
          </w:p>
        </w:tc>
        <w:tc>
          <w:tcPr>
            <w:tcW w:type="dxa" w:w="4032"/>
            <w:shd w:val="clear" w:color="auto" w:fill="FFF5F2"/>
            <w:vAlign w:val="center"/>
          </w:tcPr>
          <w:p>
            <w:r>
              <w:rPr>
                <w:color w:val="444444"/>
                <w:sz w:val="18"/>
              </w:rPr>
              <w:t>Split calculated on verified impressions served during that streamer's session</w:t>
            </w:r>
          </w:p>
        </w:tc>
      </w:tr>
      <w:tr>
        <w:tc>
          <w:tcPr>
            <w:tcW w:type="dxa" w:w="2880"/>
            <w:shd w:val="clear" w:color="auto" w:fill="FFFFFF"/>
            <w:vAlign w:val="center"/>
          </w:tcPr>
          <w:p>
            <w:r>
              <w:rPr>
                <w:color w:val="444444"/>
                <w:sz w:val="18"/>
              </w:rPr>
              <w:t>Category sponsorship</w:t>
            </w:r>
          </w:p>
        </w:tc>
        <w:tc>
          <w:tcPr>
            <w:tcW w:type="dxa" w:w="1872"/>
            <w:shd w:val="clear" w:color="auto" w:fill="FFFFFF"/>
            <w:vAlign w:val="center"/>
          </w:tcPr>
          <w:p>
            <w:r>
              <w:rPr>
                <w:color w:val="444444"/>
                <w:sz w:val="18"/>
              </w:rPr>
              <w:t>80%</w:t>
            </w:r>
          </w:p>
        </w:tc>
        <w:tc>
          <w:tcPr>
            <w:tcW w:type="dxa" w:w="1872"/>
            <w:shd w:val="clear" w:color="auto" w:fill="FFFFFF"/>
            <w:vAlign w:val="center"/>
          </w:tcPr>
          <w:p>
            <w:r>
              <w:rPr>
                <w:color w:val="444444"/>
                <w:sz w:val="18"/>
              </w:rPr>
              <w:t>20%</w:t>
            </w:r>
          </w:p>
        </w:tc>
        <w:tc>
          <w:tcPr>
            <w:tcW w:type="dxa" w:w="4032"/>
            <w:shd w:val="clear" w:color="auto" w:fill="FFFFFF"/>
            <w:vAlign w:val="center"/>
          </w:tcPr>
          <w:p>
            <w:r>
              <w:rPr>
                <w:color w:val="444444"/>
                <w:sz w:val="18"/>
              </w:rPr>
              <w:t>Fixed monthly, allocated pro-rata by impression share</w:t>
            </w:r>
          </w:p>
        </w:tc>
      </w:tr>
      <w:tr>
        <w:tc>
          <w:tcPr>
            <w:tcW w:type="dxa" w:w="2880"/>
            <w:shd w:val="clear" w:color="auto" w:fill="FFF5F2"/>
            <w:vAlign w:val="center"/>
          </w:tcPr>
          <w:p>
            <w:r>
              <w:rPr>
                <w:color w:val="444444"/>
                <w:sz w:val="18"/>
              </w:rPr>
              <w:t>Affiliate commission</w:t>
            </w:r>
          </w:p>
        </w:tc>
        <w:tc>
          <w:tcPr>
            <w:tcW w:type="dxa" w:w="1872"/>
            <w:shd w:val="clear" w:color="auto" w:fill="FFF5F2"/>
            <w:vAlign w:val="center"/>
          </w:tcPr>
          <w:p>
            <w:r>
              <w:rPr>
                <w:color w:val="444444"/>
                <w:sz w:val="18"/>
              </w:rPr>
              <w:t>70%</w:t>
            </w:r>
          </w:p>
        </w:tc>
        <w:tc>
          <w:tcPr>
            <w:tcW w:type="dxa" w:w="1872"/>
            <w:shd w:val="clear" w:color="auto" w:fill="FFF5F2"/>
            <w:vAlign w:val="center"/>
          </w:tcPr>
          <w:p>
            <w:r>
              <w:rPr>
                <w:color w:val="444444"/>
                <w:sz w:val="18"/>
              </w:rPr>
              <w:t>30%</w:t>
            </w:r>
          </w:p>
        </w:tc>
        <w:tc>
          <w:tcPr>
            <w:tcW w:type="dxa" w:w="4032"/>
            <w:shd w:val="clear" w:color="auto" w:fill="FFF5F2"/>
            <w:vAlign w:val="center"/>
          </w:tcPr>
          <w:p>
            <w:r>
              <w:rPr>
                <w:color w:val="444444"/>
                <w:sz w:val="18"/>
              </w:rPr>
              <w:t>Higher streamer share incentivises product visibility</w:t>
            </w:r>
          </w:p>
        </w:tc>
      </w:tr>
      <w:tr>
        <w:tc>
          <w:tcPr>
            <w:tcW w:type="dxa" w:w="2880"/>
            <w:shd w:val="clear" w:color="auto" w:fill="FFFFFF"/>
            <w:vAlign w:val="center"/>
          </w:tcPr>
          <w:p>
            <w:r>
              <w:rPr>
                <w:color w:val="444444"/>
                <w:sz w:val="18"/>
              </w:rPr>
              <w:t>Programmatic</w:t>
            </w:r>
          </w:p>
        </w:tc>
        <w:tc>
          <w:tcPr>
            <w:tcW w:type="dxa" w:w="1872"/>
            <w:shd w:val="clear" w:color="auto" w:fill="FFFFFF"/>
            <w:vAlign w:val="center"/>
          </w:tcPr>
          <w:p>
            <w:r>
              <w:rPr>
                <w:color w:val="444444"/>
                <w:sz w:val="18"/>
              </w:rPr>
              <w:t>80%</w:t>
            </w:r>
          </w:p>
        </w:tc>
        <w:tc>
          <w:tcPr>
            <w:tcW w:type="dxa" w:w="1872"/>
            <w:shd w:val="clear" w:color="auto" w:fill="FFFFFF"/>
            <w:vAlign w:val="center"/>
          </w:tcPr>
          <w:p>
            <w:r>
              <w:rPr>
                <w:color w:val="444444"/>
                <w:sz w:val="18"/>
              </w:rPr>
              <w:t>20%</w:t>
            </w:r>
          </w:p>
        </w:tc>
        <w:tc>
          <w:tcPr>
            <w:tcW w:type="dxa" w:w="4032"/>
            <w:shd w:val="clear" w:color="auto" w:fill="FFFFFF"/>
            <w:vAlign w:val="center"/>
          </w:tcPr>
          <w:p>
            <w:r>
              <w:rPr>
                <w:color w:val="444444"/>
                <w:sz w:val="18"/>
              </w:rPr>
              <w:t>Net of SSP fees</w:t>
            </w:r>
          </w:p>
        </w:tc>
      </w:tr>
    </w:tbl>
    <w:p>
      <w:pPr>
        <w:spacing w:after="80"/>
      </w:pPr>
    </w:p>
    <w:p>
      <w:pPr>
        <w:spacing w:before="240" w:after="40"/>
      </w:pPr>
      <w:r>
        <w:rPr>
          <w:b/>
          <w:color w:val="111010"/>
          <w:sz w:val="22"/>
        </w:rPr>
        <w:t>13.2  Streamer Earnings Dashboard</w:t>
      </w:r>
    </w:p>
    <w:p>
      <w:pPr>
        <w:spacing w:before="40" w:after="80"/>
      </w:pPr>
      <w:r>
        <w:rPr>
          <w:color w:val="444444"/>
          <w:sz w:val="20"/>
        </w:rPr>
        <w:t>The Creator Studio should surface a real-time earnings widget showing:</w:t>
      </w:r>
    </w:p>
    <w:p>
      <w:pPr>
        <w:pStyle w:val="ListBullet"/>
        <w:spacing w:before="20" w:after="20"/>
        <w:ind w:left="340"/>
      </w:pPr>
      <w:r>
        <w:rPr>
          <w:color w:val="444444"/>
          <w:sz w:val="20"/>
        </w:rPr>
        <w:t>Products detected this session — count and names.</w:t>
      </w:r>
    </w:p>
    <w:p>
      <w:pPr>
        <w:pStyle w:val="ListBullet"/>
        <w:spacing w:before="20" w:after="20"/>
        <w:ind w:left="340"/>
      </w:pPr>
      <w:r>
        <w:rPr>
          <w:color w:val="444444"/>
          <w:sz w:val="20"/>
        </w:rPr>
        <w:t>Ad impressions served — with a running CPM-equivalent earnings figure.</w:t>
      </w:r>
    </w:p>
    <w:p>
      <w:pPr>
        <w:pStyle w:val="ListBullet"/>
        <w:spacing w:before="20" w:after="20"/>
        <w:ind w:left="340"/>
      </w:pPr>
      <w:r>
        <w:rPr>
          <w:color w:val="444444"/>
          <w:sz w:val="20"/>
        </w:rPr>
        <w:t>Affiliate clicks — count and estimated commission.</w:t>
      </w:r>
    </w:p>
    <w:p>
      <w:pPr>
        <w:pStyle w:val="ListBullet"/>
        <w:spacing w:before="20" w:after="20"/>
        <w:ind w:left="340"/>
      </w:pPr>
      <w:r>
        <w:rPr>
          <w:color w:val="444444"/>
          <w:sz w:val="20"/>
        </w:rPr>
        <w:t>Lifetime earnings — total since account creation.</w:t>
      </w:r>
    </w:p>
    <w:p>
      <w:pPr>
        <w:spacing w:before="40" w:after="80"/>
        <w:ind w:left="340"/>
      </w:pPr>
      <w:r>
        <w:rPr>
          <w:color w:val="444444"/>
          <w:sz w:val="20"/>
        </w:rPr>
        <w:t>Even $0.10 per session creates the habit of running continuous scan mode and ensuring products are clearly visible. Streamers who earn become the platform's most effective sales channel — they pitch Qaramia to the brands they already work with.</w:t>
      </w:r>
    </w:p>
    <w:p>
      <w:pPr>
        <w:spacing w:before="240" w:after="40"/>
      </w:pPr>
      <w:r>
        <w:rPr>
          <w:b/>
          <w:color w:val="111010"/>
          <w:sz w:val="22"/>
        </w:rPr>
        <w:t>13.3  Payout</w:t>
      </w:r>
    </w:p>
    <w:p>
      <w:pPr>
        <w:pStyle w:val="ListBullet"/>
        <w:spacing w:before="20" w:after="20"/>
        <w:ind w:left="340"/>
      </w:pPr>
      <w:r>
        <w:rPr>
          <w:color w:val="444444"/>
          <w:sz w:val="20"/>
        </w:rPr>
        <w:t>Minimum payout threshold: $25 (prevents excessive micro-transactions).</w:t>
      </w:r>
    </w:p>
    <w:p>
      <w:pPr>
        <w:pStyle w:val="ListBullet"/>
        <w:spacing w:before="20" w:after="20"/>
        <w:ind w:left="340"/>
      </w:pPr>
      <w:r>
        <w:rPr>
          <w:color w:val="444444"/>
          <w:sz w:val="20"/>
        </w:rPr>
        <w:t>Payout method: Stripe Connect, with bank transfer or PayPal options.</w:t>
      </w:r>
    </w:p>
    <w:p>
      <w:pPr>
        <w:pStyle w:val="ListBullet"/>
        <w:spacing w:before="20" w:after="20"/>
        <w:ind w:left="340"/>
      </w:pPr>
      <w:r>
        <w:rPr>
          <w:color w:val="444444"/>
          <w:sz w:val="20"/>
        </w:rPr>
        <w:t>Payment cycle: monthly, NET 30 from end of earning period.</w:t>
      </w:r>
    </w:p>
    <w:p>
      <w:pPr>
        <w:spacing w:before="360" w:after="80"/>
      </w:pPr>
      <w:r>
        <w:rPr>
          <w:b/>
          <w:color w:val="FF7043"/>
          <w:sz w:val="28"/>
        </w:rPr>
        <w:t>14. Measurement &amp; Impression Standards</w:t>
      </w:r>
    </w:p>
    <w:p>
      <w:pPr>
        <w:pBdr>
          <w:bottom w:val="single" w:sz="6" w:space="1" w:color="FF7043"/>
        </w:pBdr>
        <w:spacing w:after="0"/>
      </w:pPr>
    </w:p>
    <w:p>
      <w:pPr>
        <w:spacing w:before="40" w:after="80"/>
      </w:pPr>
      <w:r>
        <w:rPr>
          <w:color w:val="444444"/>
          <w:sz w:val="20"/>
        </w:rPr>
        <w:t>Enterprise buyers and agencies require measurement standards to evaluate inventory quality. Without a clear impression definition and fraud controls, mid-market brands will not commit budget regardless of CPM or targeting quality.</w:t>
      </w:r>
    </w:p>
    <w:p>
      <w:pPr>
        <w:spacing w:before="240" w:after="40"/>
      </w:pPr>
      <w:r>
        <w:rPr>
          <w:b/>
          <w:color w:val="111010"/>
          <w:sz w:val="22"/>
        </w:rPr>
        <w:t>14.1  Impression Definition</w:t>
      </w:r>
    </w:p>
    <w:tbl>
      <w:tblPr>
        <w:tblW w:type="auto" w:w="0"/>
        <w:jc w:val="left"/>
        <w:tblLook w:firstColumn="1" w:firstRow="1" w:lastColumn="0" w:lastRow="0" w:noHBand="0" w:noVBand="1" w:val="04A0"/>
      </w:tblPr>
      <w:tblGrid>
        <w:gridCol w:w="9406"/>
      </w:tblGrid>
      <w:tr>
        <w:tc>
          <w:tcPr>
            <w:tcW w:type="dxa" w:w="8640"/>
            <w:shd w:val="clear" w:color="auto" w:fill="FFF5F2"/>
          </w:tcPr>
          <w:p>
            <w:pPr>
              <w:spacing w:before="80" w:after="80"/>
              <w:ind w:left="170"/>
            </w:pPr>
            <w:r>
              <w:rPr>
                <w:b/>
                <w:color w:val="FF7043"/>
                <w:sz w:val="20"/>
              </w:rPr>
              <w:t xml:space="preserve">Qaramia impression standard:  </w:t>
            </w:r>
            <w:r>
              <w:rPr>
                <w:color w:val="444444"/>
                <w:sz w:val="20"/>
              </w:rPr>
              <w:t>An impression is counted when: (1) a viewer opens the ProductDrawer while a specific ad is displayed; (2) the drawer remains open for ≥ 1 second; and (3) the viewer's session has not already logged an impression for the same ad ID in this stream session. The timestamp of drawer open is persisted client-side before the Firestore write.</w:t>
            </w:r>
          </w:p>
        </w:tc>
      </w:tr>
    </w:tbl>
    <w:p>
      <w:pPr>
        <w:spacing w:after="40"/>
      </w:pPr>
    </w:p>
    <w:p>
      <w:pPr>
        <w:spacing w:before="240" w:after="40"/>
      </w:pPr>
      <w:r>
        <w:rPr>
          <w:b/>
          <w:color w:val="111010"/>
          <w:sz w:val="22"/>
        </w:rPr>
        <w:t>14.2  Click Definition</w:t>
      </w:r>
    </w:p>
    <w:p>
      <w:pPr>
        <w:spacing w:before="40" w:after="80"/>
      </w:pPr>
      <w:r>
        <w:rPr>
          <w:color w:val="444444"/>
          <w:sz w:val="20"/>
        </w:rPr>
        <w:t>A click is counted when the viewer taps the paid CTA button. The Firestore increment is written before the destination URL is opened. No server-side redirect is interposed in Phase 1; a redirect will be added in Phase 2 to enable MRC-auditable click logging.</w:t>
      </w:r>
    </w:p>
    <w:p>
      <w:pPr>
        <w:spacing w:before="240" w:after="40"/>
      </w:pPr>
      <w:r>
        <w:rPr>
          <w:b/>
          <w:color w:val="111010"/>
          <w:sz w:val="22"/>
        </w:rPr>
        <w:t>14.3  Fraud Controls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FF7043"/>
            <w:vAlign w:val="center"/>
          </w:tcPr>
          <w:p>
            <w:pPr>
              <w:jc w:val="left"/>
            </w:pPr>
            <w:r>
              <w:rPr>
                <w:b/>
                <w:color w:val="FFFFFF"/>
                <w:sz w:val="18"/>
              </w:rPr>
              <w:t>Signal</w:t>
            </w:r>
          </w:p>
        </w:tc>
        <w:tc>
          <w:tcPr>
            <w:tcW w:type="dxa" w:w="3168"/>
            <w:shd w:val="clear" w:color="auto" w:fill="FF7043"/>
            <w:vAlign w:val="center"/>
          </w:tcPr>
          <w:p>
            <w:pPr>
              <w:jc w:val="left"/>
            </w:pPr>
            <w:r>
              <w:rPr>
                <w:b/>
                <w:color w:val="FFFFFF"/>
                <w:sz w:val="18"/>
              </w:rPr>
              <w:t>Current control</w:t>
            </w:r>
          </w:p>
        </w:tc>
        <w:tc>
          <w:tcPr>
            <w:tcW w:type="dxa" w:w="3168"/>
            <w:shd w:val="clear" w:color="auto" w:fill="FF7043"/>
            <w:vAlign w:val="center"/>
          </w:tcPr>
          <w:p>
            <w:pPr>
              <w:jc w:val="left"/>
            </w:pPr>
            <w:r>
              <w:rPr>
                <w:b/>
                <w:color w:val="FFFFFF"/>
                <w:sz w:val="18"/>
              </w:rPr>
              <w:t>Phase 2 upgrade</w:t>
            </w:r>
          </w:p>
        </w:tc>
      </w:tr>
      <w:tr>
        <w:tc>
          <w:tcPr>
            <w:tcW w:type="dxa" w:w="2592"/>
            <w:shd w:val="clear" w:color="auto" w:fill="FFF5F2"/>
            <w:vAlign w:val="center"/>
          </w:tcPr>
          <w:p>
            <w:r>
              <w:rPr>
                <w:color w:val="444444"/>
                <w:sz w:val="18"/>
              </w:rPr>
              <w:t>Duplicate impressions</w:t>
            </w:r>
          </w:p>
        </w:tc>
        <w:tc>
          <w:tcPr>
            <w:tcW w:type="dxa" w:w="3168"/>
            <w:shd w:val="clear" w:color="auto" w:fill="FFF5F2"/>
            <w:vAlign w:val="center"/>
          </w:tcPr>
          <w:p>
            <w:r>
              <w:rPr>
                <w:color w:val="444444"/>
                <w:sz w:val="18"/>
              </w:rPr>
              <w:t>Client-side dedup by ad ID per session</w:t>
            </w:r>
          </w:p>
        </w:tc>
        <w:tc>
          <w:tcPr>
            <w:tcW w:type="dxa" w:w="3168"/>
            <w:shd w:val="clear" w:color="auto" w:fill="FFF5F2"/>
            <w:vAlign w:val="center"/>
          </w:tcPr>
          <w:p>
            <w:r>
              <w:rPr>
                <w:color w:val="444444"/>
                <w:sz w:val="18"/>
              </w:rPr>
              <w:t>Server-side dedup log in Cloud Functions</w:t>
            </w:r>
          </w:p>
        </w:tc>
      </w:tr>
      <w:tr>
        <w:tc>
          <w:tcPr>
            <w:tcW w:type="dxa" w:w="2592"/>
            <w:shd w:val="clear" w:color="auto" w:fill="FFFFFF"/>
            <w:vAlign w:val="center"/>
          </w:tcPr>
          <w:p>
            <w:r>
              <w:rPr>
                <w:color w:val="444444"/>
                <w:sz w:val="18"/>
              </w:rPr>
              <w:t>Bot viewers</w:t>
            </w:r>
          </w:p>
        </w:tc>
        <w:tc>
          <w:tcPr>
            <w:tcW w:type="dxa" w:w="3168"/>
            <w:shd w:val="clear" w:color="auto" w:fill="FFFFFF"/>
            <w:vAlign w:val="center"/>
          </w:tcPr>
          <w:p>
            <w:r>
              <w:rPr>
                <w:color w:val="444444"/>
                <w:sz w:val="18"/>
              </w:rPr>
              <w:t>Firebase Auth required to view (no anon traffic)</w:t>
            </w:r>
          </w:p>
        </w:tc>
        <w:tc>
          <w:tcPr>
            <w:tcW w:type="dxa" w:w="3168"/>
            <w:shd w:val="clear" w:color="auto" w:fill="FFFFFF"/>
            <w:vAlign w:val="center"/>
          </w:tcPr>
          <w:p>
            <w:r>
              <w:rPr>
                <w:color w:val="444444"/>
                <w:sz w:val="18"/>
              </w:rPr>
              <w:t>Velocity check: &gt;5 impressions/min per uid flagged</w:t>
            </w:r>
          </w:p>
        </w:tc>
      </w:tr>
      <w:tr>
        <w:tc>
          <w:tcPr>
            <w:tcW w:type="dxa" w:w="2592"/>
            <w:shd w:val="clear" w:color="auto" w:fill="FFF5F2"/>
            <w:vAlign w:val="center"/>
          </w:tcPr>
          <w:p>
            <w:r>
              <w:rPr>
                <w:color w:val="444444"/>
                <w:sz w:val="18"/>
              </w:rPr>
              <w:t>Click fraud</w:t>
            </w:r>
          </w:p>
        </w:tc>
        <w:tc>
          <w:tcPr>
            <w:tcW w:type="dxa" w:w="3168"/>
            <w:shd w:val="clear" w:color="auto" w:fill="FFF5F2"/>
            <w:vAlign w:val="center"/>
          </w:tcPr>
          <w:p>
            <w:r>
              <w:rPr>
                <w:color w:val="444444"/>
                <w:sz w:val="18"/>
              </w:rPr>
              <w:t>Logged after genuine tap event</w:t>
            </w:r>
          </w:p>
        </w:tc>
        <w:tc>
          <w:tcPr>
            <w:tcW w:type="dxa" w:w="3168"/>
            <w:shd w:val="clear" w:color="auto" w:fill="FFF5F2"/>
            <w:vAlign w:val="center"/>
          </w:tcPr>
          <w:p>
            <w:r>
              <w:rPr>
                <w:color w:val="444444"/>
                <w:sz w:val="18"/>
              </w:rPr>
              <w:t>Server-side redirect with user-agent validation</w:t>
            </w:r>
          </w:p>
        </w:tc>
      </w:tr>
      <w:tr>
        <w:tc>
          <w:tcPr>
            <w:tcW w:type="dxa" w:w="2592"/>
            <w:shd w:val="clear" w:color="auto" w:fill="FFFFFF"/>
            <w:vAlign w:val="center"/>
          </w:tcPr>
          <w:p>
            <w:r>
              <w:rPr>
                <w:color w:val="444444"/>
                <w:sz w:val="18"/>
              </w:rPr>
              <w:t>Impression stuffing</w:t>
            </w:r>
          </w:p>
        </w:tc>
        <w:tc>
          <w:tcPr>
            <w:tcW w:type="dxa" w:w="3168"/>
            <w:shd w:val="clear" w:color="auto" w:fill="FFFFFF"/>
            <w:vAlign w:val="center"/>
          </w:tcPr>
          <w:p>
            <w:r>
              <w:rPr>
                <w:color w:val="444444"/>
                <w:sz w:val="18"/>
              </w:rPr>
              <w:t>Impression only on drawer-open, not detection</w:t>
            </w:r>
          </w:p>
        </w:tc>
        <w:tc>
          <w:tcPr>
            <w:tcW w:type="dxa" w:w="3168"/>
            <w:shd w:val="clear" w:color="auto" w:fill="FFFFFF"/>
            <w:vAlign w:val="center"/>
          </w:tcPr>
          <w:p>
            <w:r>
              <w:rPr>
                <w:color w:val="444444"/>
                <w:sz w:val="18"/>
              </w:rPr>
              <w:t>Dwell-time ≥ 1 s requirement enforced client-side</w:t>
            </w:r>
          </w:p>
        </w:tc>
      </w:tr>
    </w:tbl>
    <w:p>
      <w:pPr>
        <w:spacing w:after="80"/>
      </w:pPr>
    </w:p>
    <w:p>
      <w:pPr>
        <w:spacing w:before="240" w:after="40"/>
      </w:pPr>
      <w:r>
        <w:rPr>
          <w:b/>
          <w:color w:val="111010"/>
          <w:sz w:val="22"/>
        </w:rPr>
        <w:t>14.4  Audience Data</w:t>
      </w:r>
    </w:p>
    <w:p>
      <w:pPr>
        <w:spacing w:before="40" w:after="80"/>
      </w:pPr>
      <w:r>
        <w:rPr>
          <w:color w:val="444444"/>
          <w:sz w:val="20"/>
        </w:rPr>
        <w:t>Advertisers require audience demographics before committing significant budgets. The following data points should be collected on viewer registration and exposed as an anonymised audience card per stream category:</w:t>
      </w:r>
    </w:p>
    <w:p>
      <w:pPr>
        <w:pStyle w:val="ListBullet"/>
        <w:spacing w:before="20" w:after="20"/>
        <w:ind w:left="340"/>
      </w:pPr>
      <w:r>
        <w:rPr>
          <w:color w:val="444444"/>
          <w:sz w:val="20"/>
        </w:rPr>
        <w:t>Age range (18–24, 25–34, 35–44, 45+) — collected via optional profile field or inferred from registration.</w:t>
      </w:r>
    </w:p>
    <w:p>
      <w:pPr>
        <w:pStyle w:val="ListBullet"/>
        <w:spacing w:before="20" w:after="20"/>
        <w:ind w:left="340"/>
      </w:pPr>
      <w:r>
        <w:rPr>
          <w:color w:val="444444"/>
          <w:sz w:val="20"/>
        </w:rPr>
        <w:t>Gender (optional, self-reported).</w:t>
      </w:r>
    </w:p>
    <w:p>
      <w:pPr>
        <w:pStyle w:val="ListBullet"/>
        <w:spacing w:before="20" w:after="20"/>
        <w:ind w:left="340"/>
      </w:pPr>
      <w:r>
        <w:rPr>
          <w:color w:val="444444"/>
          <w:sz w:val="20"/>
        </w:rPr>
        <w:t>Country and top-3 cities (from Firebase Auth locale or IP geo).</w:t>
      </w:r>
    </w:p>
    <w:p>
      <w:pPr>
        <w:pStyle w:val="ListBullet"/>
        <w:spacing w:before="20" w:after="20"/>
        <w:ind w:left="340"/>
      </w:pPr>
      <w:r>
        <w:rPr>
          <w:color w:val="444444"/>
          <w:sz w:val="20"/>
        </w:rPr>
        <w:t>Device type (mobile / desktop / tablet).</w:t>
      </w:r>
    </w:p>
    <w:p>
      <w:pPr>
        <w:spacing w:before="40" w:after="80"/>
        <w:ind w:left="340"/>
      </w:pPr>
      <w:r>
        <w:rPr>
          <w:color w:val="444444"/>
          <w:sz w:val="20"/>
        </w:rPr>
        <w:t>No PII is exposed to advertisers. Data is aggregated per stream category with a minimum cohort of 50 viewers before any demographic breakdown is shown.</w:t>
      </w:r>
    </w:p>
    <w:p>
      <w:pPr>
        <w:spacing w:before="360" w:after="80"/>
      </w:pPr>
      <w:r>
        <w:rPr>
          <w:b/>
          <w:color w:val="FF7043"/>
          <w:sz w:val="28"/>
        </w:rPr>
        <w:t>15. End-to-End Data Flow</w:t>
      </w:r>
    </w:p>
    <w:p>
      <w:pPr>
        <w:pBdr>
          <w:bottom w:val="single" w:sz="6" w:space="1" w:color="FF7043"/>
        </w:pBdr>
        <w:spacing w:after="0"/>
      </w:pPr>
    </w:p>
    <w:p>
      <w:pPr>
        <w:spacing w:before="20" w:after="20"/>
        <w:ind w:left="170"/>
      </w:pPr>
      <w:r>
        <w:rPr>
          <w:b/>
          <w:color w:val="FF7043"/>
          <w:sz w:val="20"/>
        </w:rPr>
        <w:t xml:space="preserve">▸  Streamer browser:  </w:t>
      </w:r>
      <w:r>
        <w:rPr>
          <w:color w:val="444444"/>
          <w:sz w:val="20"/>
        </w:rPr>
        <w:t>Captures video frame every 5 s (continuous) or on demand (manual).</w:t>
      </w:r>
    </w:p>
    <w:p>
      <w:pPr>
        <w:spacing w:before="20" w:after="20"/>
        <w:ind w:left="170"/>
      </w:pPr>
      <w:r>
        <w:rPr>
          <w:b/>
          <w:color w:val="FF7043"/>
          <w:sz w:val="20"/>
        </w:rPr>
        <w:t xml:space="preserve">▸  Barcode decoder:  </w:t>
      </w:r>
      <w:r>
        <w:rPr>
          <w:color w:val="444444"/>
          <w:sz w:val="20"/>
        </w:rPr>
        <w:t>ZXing attempts decode. Hit → product lookup → skip if same barcode as last tick.</w:t>
      </w:r>
    </w:p>
    <w:p>
      <w:pPr>
        <w:spacing w:before="20" w:after="20"/>
        <w:ind w:left="170"/>
      </w:pPr>
      <w:r>
        <w:rPr>
          <w:b/>
          <w:color w:val="FF7043"/>
          <w:sz w:val="20"/>
        </w:rPr>
        <w:t xml:space="preserve">▸  Vision API:  </w:t>
      </w:r>
      <w:r>
        <w:rPr>
          <w:color w:val="444444"/>
          <w:sz w:val="20"/>
        </w:rPr>
        <w:t>If no barcode and scene changed: frame → /api/scan-product → Claude Vision → ≤3 products.</w:t>
      </w:r>
    </w:p>
    <w:p>
      <w:pPr>
        <w:spacing w:before="20" w:after="20"/>
        <w:ind w:left="170"/>
      </w:pPr>
      <w:r>
        <w:rPr>
          <w:b/>
          <w:color w:val="FF7043"/>
          <w:sz w:val="20"/>
        </w:rPr>
        <w:t xml:space="preserve">▸  Category classifier:  </w:t>
      </w:r>
      <w:r>
        <w:rPr>
          <w:color w:val="444444"/>
          <w:sz w:val="20"/>
        </w:rPr>
        <w:t>Product brand/name → category tag (beauty / food / tech / fitness / fashion / home).</w:t>
      </w:r>
    </w:p>
    <w:p>
      <w:pPr>
        <w:spacing w:before="20" w:after="20"/>
        <w:ind w:left="170"/>
      </w:pPr>
      <w:r>
        <w:rPr>
          <w:b/>
          <w:color w:val="FF7043"/>
          <w:sz w:val="20"/>
        </w:rPr>
        <w:t xml:space="preserve">▸  Ad matcher:  </w:t>
      </w:r>
      <w:r>
        <w:rPr>
          <w:color w:val="444444"/>
          <w:sz w:val="20"/>
        </w:rPr>
        <w:t>matchAd(products) → Firestore query (status=active, keywords OR category) → best match.</w:t>
      </w:r>
    </w:p>
    <w:p>
      <w:pPr>
        <w:spacing w:before="20" w:after="20"/>
        <w:ind w:left="170"/>
      </w:pPr>
      <w:r>
        <w:rPr>
          <w:b/>
          <w:color w:val="FF7043"/>
          <w:sz w:val="20"/>
        </w:rPr>
        <w:t xml:space="preserve">▸  Firestore write:  </w:t>
      </w:r>
      <w:r>
        <w:rPr>
          <w:color w:val="444444"/>
          <w:sz w:val="20"/>
        </w:rPr>
        <w:t>streams/{id} updated: featuredProducts + featuredAd in single updateDoc.</w:t>
      </w:r>
    </w:p>
    <w:p>
      <w:pPr>
        <w:spacing w:before="20" w:after="20"/>
        <w:ind w:left="170"/>
      </w:pPr>
      <w:r>
        <w:rPr>
          <w:b/>
          <w:color w:val="FF7043"/>
          <w:sz w:val="20"/>
        </w:rPr>
        <w:t xml:space="preserve">▸  Viewer browser:  </w:t>
      </w:r>
      <w:r>
        <w:rPr>
          <w:color w:val="444444"/>
          <w:sz w:val="20"/>
        </w:rPr>
        <w:t>onSnapshot fires on all active viewer sessions (&lt; 1 s latency typically).</w:t>
      </w:r>
    </w:p>
    <w:p>
      <w:pPr>
        <w:spacing w:before="20" w:after="20"/>
        <w:ind w:left="170"/>
      </w:pPr>
      <w:r>
        <w:rPr>
          <w:b/>
          <w:color w:val="FF7043"/>
          <w:sz w:val="20"/>
        </w:rPr>
        <w:t xml:space="preserve">▸  ProductDrawer:  </w:t>
      </w:r>
      <w:r>
        <w:rPr>
          <w:color w:val="444444"/>
          <w:sz w:val="20"/>
        </w:rPr>
        <w:t>🛍 icon pulses. Viewer taps → drawer opens.</w:t>
      </w:r>
    </w:p>
    <w:p>
      <w:pPr>
        <w:spacing w:before="20" w:after="20"/>
        <w:ind w:left="170"/>
      </w:pPr>
      <w:r>
        <w:rPr>
          <w:b/>
          <w:color w:val="FF7043"/>
          <w:sz w:val="20"/>
        </w:rPr>
        <w:t xml:space="preserve">▸  Ad / Affiliate:  </w:t>
      </w:r>
      <w:r>
        <w:rPr>
          <w:color w:val="444444"/>
          <w:sz w:val="20"/>
        </w:rPr>
        <w:t>SponsoredCard if featuredAd present; AffiliateCard (Amazon link) if not.</w:t>
      </w:r>
    </w:p>
    <w:p>
      <w:pPr>
        <w:spacing w:before="20" w:after="20"/>
        <w:ind w:left="170"/>
      </w:pPr>
      <w:r>
        <w:rPr>
          <w:b/>
          <w:color w:val="FF7043"/>
          <w:sz w:val="20"/>
        </w:rPr>
        <w:t xml:space="preserve">▸  Impression logged:  </w:t>
      </w:r>
      <w:r>
        <w:rPr>
          <w:color w:val="444444"/>
          <w:sz w:val="20"/>
        </w:rPr>
        <w:t>trackImpression(adId) → ads/{id}.impressions incremented (paid ads only, dwell ≥ 1 s).</w:t>
      </w:r>
    </w:p>
    <w:p>
      <w:pPr>
        <w:spacing w:before="20" w:after="20"/>
        <w:ind w:left="170"/>
      </w:pPr>
      <w:r>
        <w:rPr>
          <w:b/>
          <w:color w:val="FF7043"/>
          <w:sz w:val="20"/>
        </w:rPr>
        <w:t xml:space="preserve">▸  Click logged:  </w:t>
      </w:r>
      <w:r>
        <w:rPr>
          <w:color w:val="444444"/>
          <w:sz w:val="20"/>
        </w:rPr>
        <w:t>trackClick(adId) → ads/{id}.clicks incremented before URL opens (paid CTA only).</w:t>
      </w:r>
    </w:p>
    <w:p>
      <w:pPr>
        <w:spacing w:before="20" w:after="20"/>
        <w:ind w:left="170"/>
      </w:pPr>
      <w:r>
        <w:rPr>
          <w:b/>
          <w:color w:val="FF7043"/>
          <w:sz w:val="20"/>
        </w:rPr>
        <w:t xml:space="preserve">▸  Streamer closes:  </w:t>
      </w:r>
      <w:r>
        <w:rPr>
          <w:color w:val="444444"/>
          <w:sz w:val="20"/>
        </w:rPr>
        <w:t>dismissProducts() → featuredProducts:[], featuredAd:null → all viewers' drawers clear.</w:t>
      </w:r>
    </w:p>
    <w:p>
      <w:pPr>
        <w:spacing w:before="20" w:after="20"/>
        <w:ind w:left="170"/>
      </w:pPr>
      <w:r>
        <w:rPr>
          <w:b/>
          <w:color w:val="FF7043"/>
          <w:sz w:val="20"/>
        </w:rPr>
        <w:t xml:space="preserve">▸  Revenue share:  </w:t>
      </w:r>
      <w:r>
        <w:rPr>
          <w:color w:val="444444"/>
          <w:sz w:val="20"/>
        </w:rPr>
        <w:t>Session ends → impression count × CPM × streamer share % credited to streamer wallet.</w:t>
      </w:r>
    </w:p>
    <w:p>
      <w:pPr>
        <w:spacing w:before="360" w:after="80"/>
      </w:pPr>
      <w:r>
        <w:rPr>
          <w:b/>
          <w:color w:val="FF7043"/>
          <w:sz w:val="28"/>
        </w:rPr>
        <w:t>16. Firestore Data Model</w:t>
      </w:r>
    </w:p>
    <w:p>
      <w:pPr>
        <w:pBdr>
          <w:bottom w:val="single" w:sz="6" w:space="1" w:color="FF7043"/>
        </w:pBdr>
        <w:spacing w:after="0"/>
      </w:pPr>
    </w:p>
    <w:p>
      <w:pPr>
        <w:spacing w:before="240" w:after="40"/>
      </w:pPr>
      <w:r>
        <w:rPr>
          <w:b/>
          <w:color w:val="111010"/>
          <w:sz w:val="22"/>
        </w:rPr>
        <w:t>ads/{adId}</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FF7043"/>
            <w:vAlign w:val="center"/>
          </w:tcPr>
          <w:p>
            <w:pPr>
              <w:jc w:val="left"/>
            </w:pPr>
            <w:r>
              <w:rPr>
                <w:b/>
                <w:color w:val="FFFFFF"/>
                <w:sz w:val="18"/>
              </w:rPr>
              <w:t>Field</w:t>
            </w:r>
          </w:p>
        </w:tc>
        <w:tc>
          <w:tcPr>
            <w:tcW w:type="dxa" w:w="1584"/>
            <w:shd w:val="clear" w:color="auto" w:fill="FF7043"/>
            <w:vAlign w:val="center"/>
          </w:tcPr>
          <w:p>
            <w:pPr>
              <w:jc w:val="left"/>
            </w:pPr>
            <w:r>
              <w:rPr>
                <w:b/>
                <w:color w:val="FFFFFF"/>
                <w:sz w:val="18"/>
              </w:rPr>
              <w:t>Type</w:t>
            </w:r>
          </w:p>
        </w:tc>
        <w:tc>
          <w:tcPr>
            <w:tcW w:type="dxa" w:w="4896"/>
            <w:shd w:val="clear" w:color="auto" w:fill="FF7043"/>
            <w:vAlign w:val="center"/>
          </w:tcPr>
          <w:p>
            <w:pPr>
              <w:jc w:val="left"/>
            </w:pPr>
            <w:r>
              <w:rPr>
                <w:b/>
                <w:color w:val="FFFFFF"/>
                <w:sz w:val="18"/>
              </w:rPr>
              <w:t>Description</w:t>
            </w:r>
          </w:p>
        </w:tc>
      </w:tr>
      <w:tr>
        <w:tc>
          <w:tcPr>
            <w:tcW w:type="dxa" w:w="2448"/>
            <w:shd w:val="clear" w:color="auto" w:fill="FFF5F2"/>
            <w:vAlign w:val="center"/>
          </w:tcPr>
          <w:p>
            <w:r>
              <w:rPr>
                <w:color w:val="444444"/>
                <w:sz w:val="18"/>
              </w:rPr>
              <w:t>id</w:t>
            </w:r>
          </w:p>
        </w:tc>
        <w:tc>
          <w:tcPr>
            <w:tcW w:type="dxa" w:w="1584"/>
            <w:shd w:val="clear" w:color="auto" w:fill="FFF5F2"/>
            <w:vAlign w:val="center"/>
          </w:tcPr>
          <w:p>
            <w:r>
              <w:rPr>
                <w:color w:val="444444"/>
                <w:sz w:val="18"/>
              </w:rPr>
              <w:t>string</w:t>
            </w:r>
          </w:p>
        </w:tc>
        <w:tc>
          <w:tcPr>
            <w:tcW w:type="dxa" w:w="4896"/>
            <w:shd w:val="clear" w:color="auto" w:fill="FFF5F2"/>
            <w:vAlign w:val="center"/>
          </w:tcPr>
          <w:p>
            <w:r>
              <w:rPr>
                <w:color w:val="444444"/>
                <w:sz w:val="18"/>
              </w:rPr>
              <w:t>Firestore document ID</w:t>
            </w:r>
          </w:p>
        </w:tc>
      </w:tr>
      <w:tr>
        <w:tc>
          <w:tcPr>
            <w:tcW w:type="dxa" w:w="2448"/>
            <w:shd w:val="clear" w:color="auto" w:fill="FFFFFF"/>
            <w:vAlign w:val="center"/>
          </w:tcPr>
          <w:p>
            <w:r>
              <w:rPr>
                <w:color w:val="444444"/>
                <w:sz w:val="18"/>
              </w:rPr>
              <w:t>advertiserId</w:t>
            </w:r>
          </w:p>
        </w:tc>
        <w:tc>
          <w:tcPr>
            <w:tcW w:type="dxa" w:w="1584"/>
            <w:shd w:val="clear" w:color="auto" w:fill="FFFFFF"/>
            <w:vAlign w:val="center"/>
          </w:tcPr>
          <w:p>
            <w:r>
              <w:rPr>
                <w:color w:val="444444"/>
                <w:sz w:val="18"/>
              </w:rPr>
              <w:t>string</w:t>
            </w:r>
          </w:p>
        </w:tc>
        <w:tc>
          <w:tcPr>
            <w:tcW w:type="dxa" w:w="4896"/>
            <w:shd w:val="clear" w:color="auto" w:fill="FFFFFF"/>
            <w:vAlign w:val="center"/>
          </w:tcPr>
          <w:p>
            <w:r>
              <w:rPr>
                <w:color w:val="444444"/>
                <w:sz w:val="18"/>
              </w:rPr>
              <w:t>UID of the owning advertiser</w:t>
            </w:r>
          </w:p>
        </w:tc>
      </w:tr>
      <w:tr>
        <w:tc>
          <w:tcPr>
            <w:tcW w:type="dxa" w:w="2448"/>
            <w:shd w:val="clear" w:color="auto" w:fill="FFF5F2"/>
            <w:vAlign w:val="center"/>
          </w:tcPr>
          <w:p>
            <w:r>
              <w:rPr>
                <w:color w:val="444444"/>
                <w:sz w:val="18"/>
              </w:rPr>
              <w:t>advertiserName</w:t>
            </w:r>
          </w:p>
        </w:tc>
        <w:tc>
          <w:tcPr>
            <w:tcW w:type="dxa" w:w="1584"/>
            <w:shd w:val="clear" w:color="auto" w:fill="FFF5F2"/>
            <w:vAlign w:val="center"/>
          </w:tcPr>
          <w:p>
            <w:r>
              <w:rPr>
                <w:color w:val="444444"/>
                <w:sz w:val="18"/>
              </w:rPr>
              <w:t>string</w:t>
            </w:r>
          </w:p>
        </w:tc>
        <w:tc>
          <w:tcPr>
            <w:tcW w:type="dxa" w:w="4896"/>
            <w:shd w:val="clear" w:color="auto" w:fill="FFF5F2"/>
            <w:vAlign w:val="center"/>
          </w:tcPr>
          <w:p>
            <w:r>
              <w:rPr>
                <w:color w:val="444444"/>
                <w:sz w:val="18"/>
              </w:rPr>
              <w:t>Display name shown to streamers</w:t>
            </w:r>
          </w:p>
        </w:tc>
      </w:tr>
      <w:tr>
        <w:tc>
          <w:tcPr>
            <w:tcW w:type="dxa" w:w="2448"/>
            <w:shd w:val="clear" w:color="auto" w:fill="FFFFFF"/>
            <w:vAlign w:val="center"/>
          </w:tcPr>
          <w:p>
            <w:r>
              <w:rPr>
                <w:color w:val="444444"/>
                <w:sz w:val="18"/>
              </w:rPr>
              <w:t>headline</w:t>
            </w:r>
          </w:p>
        </w:tc>
        <w:tc>
          <w:tcPr>
            <w:tcW w:type="dxa" w:w="1584"/>
            <w:shd w:val="clear" w:color="auto" w:fill="FFFFFF"/>
            <w:vAlign w:val="center"/>
          </w:tcPr>
          <w:p>
            <w:r>
              <w:rPr>
                <w:color w:val="444444"/>
                <w:sz w:val="18"/>
              </w:rPr>
              <w:t>string</w:t>
            </w:r>
          </w:p>
        </w:tc>
        <w:tc>
          <w:tcPr>
            <w:tcW w:type="dxa" w:w="4896"/>
            <w:shd w:val="clear" w:color="auto" w:fill="FFFFFF"/>
            <w:vAlign w:val="center"/>
          </w:tcPr>
          <w:p>
            <w:r>
              <w:rPr>
                <w:color w:val="444444"/>
                <w:sz w:val="18"/>
              </w:rPr>
              <w:t>Ad headline shown in SponsoredCard</w:t>
            </w:r>
          </w:p>
        </w:tc>
      </w:tr>
      <w:tr>
        <w:tc>
          <w:tcPr>
            <w:tcW w:type="dxa" w:w="2448"/>
            <w:shd w:val="clear" w:color="auto" w:fill="FFF5F2"/>
            <w:vAlign w:val="center"/>
          </w:tcPr>
          <w:p>
            <w:r>
              <w:rPr>
                <w:color w:val="444444"/>
                <w:sz w:val="18"/>
              </w:rPr>
              <w:t>imageUrl</w:t>
            </w:r>
          </w:p>
        </w:tc>
        <w:tc>
          <w:tcPr>
            <w:tcW w:type="dxa" w:w="1584"/>
            <w:shd w:val="clear" w:color="auto" w:fill="FFF5F2"/>
            <w:vAlign w:val="center"/>
          </w:tcPr>
          <w:p>
            <w:r>
              <w:rPr>
                <w:color w:val="444444"/>
                <w:sz w:val="18"/>
              </w:rPr>
              <w:t>string?</w:t>
            </w:r>
          </w:p>
        </w:tc>
        <w:tc>
          <w:tcPr>
            <w:tcW w:type="dxa" w:w="4896"/>
            <w:shd w:val="clear" w:color="auto" w:fill="FFF5F2"/>
            <w:vAlign w:val="center"/>
          </w:tcPr>
          <w:p>
            <w:r>
              <w:rPr>
                <w:color w:val="444444"/>
                <w:sz w:val="18"/>
              </w:rPr>
              <w:t>Optional banner image URL</w:t>
            </w:r>
          </w:p>
        </w:tc>
      </w:tr>
      <w:tr>
        <w:tc>
          <w:tcPr>
            <w:tcW w:type="dxa" w:w="2448"/>
            <w:shd w:val="clear" w:color="auto" w:fill="FFFFFF"/>
            <w:vAlign w:val="center"/>
          </w:tcPr>
          <w:p>
            <w:r>
              <w:rPr>
                <w:color w:val="444444"/>
                <w:sz w:val="18"/>
              </w:rPr>
              <w:t>ctaText</w:t>
            </w:r>
          </w:p>
        </w:tc>
        <w:tc>
          <w:tcPr>
            <w:tcW w:type="dxa" w:w="1584"/>
            <w:shd w:val="clear" w:color="auto" w:fill="FFFFFF"/>
            <w:vAlign w:val="center"/>
          </w:tcPr>
          <w:p>
            <w:r>
              <w:rPr>
                <w:color w:val="444444"/>
                <w:sz w:val="18"/>
              </w:rPr>
              <w:t>string</w:t>
            </w:r>
          </w:p>
        </w:tc>
        <w:tc>
          <w:tcPr>
            <w:tcW w:type="dxa" w:w="4896"/>
            <w:shd w:val="clear" w:color="auto" w:fill="FFFFFF"/>
            <w:vAlign w:val="center"/>
          </w:tcPr>
          <w:p>
            <w:r>
              <w:rPr>
                <w:color w:val="444444"/>
                <w:sz w:val="18"/>
              </w:rPr>
              <w:t>CTA button label (default: "Shop Now")</w:t>
            </w:r>
          </w:p>
        </w:tc>
      </w:tr>
      <w:tr>
        <w:tc>
          <w:tcPr>
            <w:tcW w:type="dxa" w:w="2448"/>
            <w:shd w:val="clear" w:color="auto" w:fill="FFF5F2"/>
            <w:vAlign w:val="center"/>
          </w:tcPr>
          <w:p>
            <w:r>
              <w:rPr>
                <w:color w:val="444444"/>
                <w:sz w:val="18"/>
              </w:rPr>
              <w:t>ctaUrl</w:t>
            </w:r>
          </w:p>
        </w:tc>
        <w:tc>
          <w:tcPr>
            <w:tcW w:type="dxa" w:w="1584"/>
            <w:shd w:val="clear" w:color="auto" w:fill="FFF5F2"/>
            <w:vAlign w:val="center"/>
          </w:tcPr>
          <w:p>
            <w:r>
              <w:rPr>
                <w:color w:val="444444"/>
                <w:sz w:val="18"/>
              </w:rPr>
              <w:t>string</w:t>
            </w:r>
          </w:p>
        </w:tc>
        <w:tc>
          <w:tcPr>
            <w:tcW w:type="dxa" w:w="4896"/>
            <w:shd w:val="clear" w:color="auto" w:fill="FFF5F2"/>
            <w:vAlign w:val="center"/>
          </w:tcPr>
          <w:p>
            <w:r>
              <w:rPr>
                <w:color w:val="444444"/>
                <w:sz w:val="18"/>
              </w:rPr>
              <w:t>Destination URL on CTA click</w:t>
            </w:r>
          </w:p>
        </w:tc>
      </w:tr>
      <w:tr>
        <w:tc>
          <w:tcPr>
            <w:tcW w:type="dxa" w:w="2448"/>
            <w:shd w:val="clear" w:color="auto" w:fill="FFFFFF"/>
            <w:vAlign w:val="center"/>
          </w:tcPr>
          <w:p>
            <w:r>
              <w:rPr>
                <w:color w:val="444444"/>
                <w:sz w:val="18"/>
              </w:rPr>
              <w:t>keywords</w:t>
            </w:r>
          </w:p>
        </w:tc>
        <w:tc>
          <w:tcPr>
            <w:tcW w:type="dxa" w:w="1584"/>
            <w:shd w:val="clear" w:color="auto" w:fill="FFFFFF"/>
            <w:vAlign w:val="center"/>
          </w:tcPr>
          <w:p>
            <w:r>
              <w:rPr>
                <w:color w:val="444444"/>
                <w:sz w:val="18"/>
              </w:rPr>
              <w:t>string[]</w:t>
            </w:r>
          </w:p>
        </w:tc>
        <w:tc>
          <w:tcPr>
            <w:tcW w:type="dxa" w:w="4896"/>
            <w:shd w:val="clear" w:color="auto" w:fill="FFFFFF"/>
            <w:vAlign w:val="center"/>
          </w:tcPr>
          <w:p>
            <w:r>
              <w:rPr>
                <w:color w:val="444444"/>
                <w:sz w:val="18"/>
              </w:rPr>
              <w:t>Lowercase keyword array for matching</w:t>
            </w:r>
          </w:p>
        </w:tc>
      </w:tr>
      <w:tr>
        <w:tc>
          <w:tcPr>
            <w:tcW w:type="dxa" w:w="2448"/>
            <w:shd w:val="clear" w:color="auto" w:fill="FFF5F2"/>
            <w:vAlign w:val="center"/>
          </w:tcPr>
          <w:p>
            <w:r>
              <w:rPr>
                <w:color w:val="444444"/>
                <w:sz w:val="18"/>
              </w:rPr>
              <w:t>categories</w:t>
            </w:r>
          </w:p>
        </w:tc>
        <w:tc>
          <w:tcPr>
            <w:tcW w:type="dxa" w:w="1584"/>
            <w:shd w:val="clear" w:color="auto" w:fill="FFF5F2"/>
            <w:vAlign w:val="center"/>
          </w:tcPr>
          <w:p>
            <w:r>
              <w:rPr>
                <w:color w:val="444444"/>
                <w:sz w:val="18"/>
              </w:rPr>
              <w:t>string[]</w:t>
            </w:r>
          </w:p>
        </w:tc>
        <w:tc>
          <w:tcPr>
            <w:tcW w:type="dxa" w:w="4896"/>
            <w:shd w:val="clear" w:color="auto" w:fill="FFF5F2"/>
            <w:vAlign w:val="center"/>
          </w:tcPr>
          <w:p>
            <w:r>
              <w:rPr>
                <w:color w:val="444444"/>
                <w:sz w:val="18"/>
              </w:rPr>
              <w:t>Category taxonomy tags (§4.2)</w:t>
            </w:r>
          </w:p>
        </w:tc>
      </w:tr>
      <w:tr>
        <w:tc>
          <w:tcPr>
            <w:tcW w:type="dxa" w:w="2448"/>
            <w:shd w:val="clear" w:color="auto" w:fill="FFFFFF"/>
            <w:vAlign w:val="center"/>
          </w:tcPr>
          <w:p>
            <w:r>
              <w:rPr>
                <w:color w:val="444444"/>
                <w:sz w:val="18"/>
              </w:rPr>
              <w:t>status</w:t>
            </w:r>
          </w:p>
        </w:tc>
        <w:tc>
          <w:tcPr>
            <w:tcW w:type="dxa" w:w="1584"/>
            <w:shd w:val="clear" w:color="auto" w:fill="FFFFFF"/>
            <w:vAlign w:val="center"/>
          </w:tcPr>
          <w:p>
            <w:r>
              <w:rPr>
                <w:color w:val="444444"/>
                <w:sz w:val="18"/>
              </w:rPr>
              <w:t>string</w:t>
            </w:r>
          </w:p>
        </w:tc>
        <w:tc>
          <w:tcPr>
            <w:tcW w:type="dxa" w:w="4896"/>
            <w:shd w:val="clear" w:color="auto" w:fill="FFFFFF"/>
            <w:vAlign w:val="center"/>
          </w:tcPr>
          <w:p>
            <w:r>
              <w:rPr>
                <w:color w:val="444444"/>
                <w:sz w:val="18"/>
              </w:rPr>
              <w:t>"active" or "paused"</w:t>
            </w:r>
          </w:p>
        </w:tc>
      </w:tr>
      <w:tr>
        <w:tc>
          <w:tcPr>
            <w:tcW w:type="dxa" w:w="2448"/>
            <w:shd w:val="clear" w:color="auto" w:fill="FFF5F2"/>
            <w:vAlign w:val="center"/>
          </w:tcPr>
          <w:p>
            <w:r>
              <w:rPr>
                <w:color w:val="444444"/>
                <w:sz w:val="18"/>
              </w:rPr>
              <w:t>impressions</w:t>
            </w:r>
          </w:p>
        </w:tc>
        <w:tc>
          <w:tcPr>
            <w:tcW w:type="dxa" w:w="1584"/>
            <w:shd w:val="clear" w:color="auto" w:fill="FFF5F2"/>
            <w:vAlign w:val="center"/>
          </w:tcPr>
          <w:p>
            <w:r>
              <w:rPr>
                <w:color w:val="444444"/>
                <w:sz w:val="18"/>
              </w:rPr>
              <w:t>number</w:t>
            </w:r>
          </w:p>
        </w:tc>
        <w:tc>
          <w:tcPr>
            <w:tcW w:type="dxa" w:w="4896"/>
            <w:shd w:val="clear" w:color="auto" w:fill="FFF5F2"/>
            <w:vAlign w:val="center"/>
          </w:tcPr>
          <w:p>
            <w:r>
              <w:rPr>
                <w:color w:val="444444"/>
                <w:sz w:val="18"/>
              </w:rPr>
              <w:t>Total impressions counter</w:t>
            </w:r>
          </w:p>
        </w:tc>
      </w:tr>
      <w:tr>
        <w:tc>
          <w:tcPr>
            <w:tcW w:type="dxa" w:w="2448"/>
            <w:shd w:val="clear" w:color="auto" w:fill="FFFFFF"/>
            <w:vAlign w:val="center"/>
          </w:tcPr>
          <w:p>
            <w:r>
              <w:rPr>
                <w:color w:val="444444"/>
                <w:sz w:val="18"/>
              </w:rPr>
              <w:t>clicks</w:t>
            </w:r>
          </w:p>
        </w:tc>
        <w:tc>
          <w:tcPr>
            <w:tcW w:type="dxa" w:w="1584"/>
            <w:shd w:val="clear" w:color="auto" w:fill="FFFFFF"/>
            <w:vAlign w:val="center"/>
          </w:tcPr>
          <w:p>
            <w:r>
              <w:rPr>
                <w:color w:val="444444"/>
                <w:sz w:val="18"/>
              </w:rPr>
              <w:t>number</w:t>
            </w:r>
          </w:p>
        </w:tc>
        <w:tc>
          <w:tcPr>
            <w:tcW w:type="dxa" w:w="4896"/>
            <w:shd w:val="clear" w:color="auto" w:fill="FFFFFF"/>
            <w:vAlign w:val="center"/>
          </w:tcPr>
          <w:p>
            <w:r>
              <w:rPr>
                <w:color w:val="444444"/>
                <w:sz w:val="18"/>
              </w:rPr>
              <w:t>Total CTA clicks counter</w:t>
            </w:r>
          </w:p>
        </w:tc>
      </w:tr>
      <w:tr>
        <w:tc>
          <w:tcPr>
            <w:tcW w:type="dxa" w:w="2448"/>
            <w:shd w:val="clear" w:color="auto" w:fill="FFF5F2"/>
            <w:vAlign w:val="center"/>
          </w:tcPr>
          <w:p>
            <w:r>
              <w:rPr>
                <w:color w:val="444444"/>
                <w:sz w:val="18"/>
              </w:rPr>
              <w:t>createdAt</w:t>
            </w:r>
          </w:p>
        </w:tc>
        <w:tc>
          <w:tcPr>
            <w:tcW w:type="dxa" w:w="1584"/>
            <w:shd w:val="clear" w:color="auto" w:fill="FFF5F2"/>
            <w:vAlign w:val="center"/>
          </w:tcPr>
          <w:p>
            <w:r>
              <w:rPr>
                <w:color w:val="444444"/>
                <w:sz w:val="18"/>
              </w:rPr>
              <w:t>Timestamp</w:t>
            </w:r>
          </w:p>
        </w:tc>
        <w:tc>
          <w:tcPr>
            <w:tcW w:type="dxa" w:w="4896"/>
            <w:shd w:val="clear" w:color="auto" w:fill="FFF5F2"/>
            <w:vAlign w:val="center"/>
          </w:tcPr>
          <w:p>
            <w:r>
              <w:rPr>
                <w:color w:val="444444"/>
                <w:sz w:val="18"/>
              </w:rPr>
              <w:t>Document creation time</w:t>
            </w:r>
          </w:p>
        </w:tc>
      </w:tr>
    </w:tbl>
    <w:p>
      <w:pPr>
        <w:spacing w:after="80"/>
      </w:pPr>
    </w:p>
    <w:p>
      <w:pPr>
        <w:spacing w:before="240" w:after="40"/>
      </w:pPr>
      <w:r>
        <w:rPr>
          <w:b/>
          <w:color w:val="111010"/>
          <w:sz w:val="22"/>
        </w:rPr>
        <w:t>streams/{streamId}  (ad-relevant fields)</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FF7043"/>
            <w:vAlign w:val="center"/>
          </w:tcPr>
          <w:p>
            <w:pPr>
              <w:jc w:val="left"/>
            </w:pPr>
            <w:r>
              <w:rPr>
                <w:b/>
                <w:color w:val="FFFFFF"/>
                <w:sz w:val="18"/>
              </w:rPr>
              <w:t>Field</w:t>
            </w:r>
          </w:p>
        </w:tc>
        <w:tc>
          <w:tcPr>
            <w:tcW w:type="dxa" w:w="2016"/>
            <w:shd w:val="clear" w:color="auto" w:fill="FF7043"/>
            <w:vAlign w:val="center"/>
          </w:tcPr>
          <w:p>
            <w:pPr>
              <w:jc w:val="left"/>
            </w:pPr>
            <w:r>
              <w:rPr>
                <w:b/>
                <w:color w:val="FFFFFF"/>
                <w:sz w:val="18"/>
              </w:rPr>
              <w:t>Type</w:t>
            </w:r>
          </w:p>
        </w:tc>
        <w:tc>
          <w:tcPr>
            <w:tcW w:type="dxa" w:w="4464"/>
            <w:shd w:val="clear" w:color="auto" w:fill="FF7043"/>
            <w:vAlign w:val="center"/>
          </w:tcPr>
          <w:p>
            <w:pPr>
              <w:jc w:val="left"/>
            </w:pPr>
            <w:r>
              <w:rPr>
                <w:b/>
                <w:color w:val="FFFFFF"/>
                <w:sz w:val="18"/>
              </w:rPr>
              <w:t>Description</w:t>
            </w:r>
          </w:p>
        </w:tc>
      </w:tr>
      <w:tr>
        <w:tc>
          <w:tcPr>
            <w:tcW w:type="dxa" w:w="2448"/>
            <w:shd w:val="clear" w:color="auto" w:fill="FFF5F2"/>
            <w:vAlign w:val="center"/>
          </w:tcPr>
          <w:p>
            <w:r>
              <w:rPr>
                <w:color w:val="444444"/>
                <w:sz w:val="18"/>
              </w:rPr>
              <w:t>featuredProducts</w:t>
            </w:r>
          </w:p>
        </w:tc>
        <w:tc>
          <w:tcPr>
            <w:tcW w:type="dxa" w:w="2016"/>
            <w:shd w:val="clear" w:color="auto" w:fill="FFF5F2"/>
            <w:vAlign w:val="center"/>
          </w:tcPr>
          <w:p>
            <w:r>
              <w:rPr>
                <w:color w:val="444444"/>
                <w:sz w:val="18"/>
              </w:rPr>
              <w:t>ProductInfo[]</w:t>
            </w:r>
          </w:p>
        </w:tc>
        <w:tc>
          <w:tcPr>
            <w:tcW w:type="dxa" w:w="4464"/>
            <w:shd w:val="clear" w:color="auto" w:fill="FFF5F2"/>
            <w:vAlign w:val="center"/>
          </w:tcPr>
          <w:p>
            <w:r>
              <w:rPr>
                <w:color w:val="444444"/>
                <w:sz w:val="18"/>
              </w:rPr>
              <w:t>Array of currently detected products</w:t>
            </w:r>
          </w:p>
        </w:tc>
      </w:tr>
      <w:tr>
        <w:tc>
          <w:tcPr>
            <w:tcW w:type="dxa" w:w="2448"/>
            <w:shd w:val="clear" w:color="auto" w:fill="FFFFFF"/>
            <w:vAlign w:val="center"/>
          </w:tcPr>
          <w:p>
            <w:r>
              <w:rPr>
                <w:color w:val="444444"/>
                <w:sz w:val="18"/>
              </w:rPr>
              <w:t>featuredAd</w:t>
            </w:r>
          </w:p>
        </w:tc>
        <w:tc>
          <w:tcPr>
            <w:tcW w:type="dxa" w:w="2016"/>
            <w:shd w:val="clear" w:color="auto" w:fill="FFFFFF"/>
            <w:vAlign w:val="center"/>
          </w:tcPr>
          <w:p>
            <w:r>
              <w:rPr>
                <w:color w:val="444444"/>
                <w:sz w:val="18"/>
              </w:rPr>
              <w:t>Ad | null</w:t>
            </w:r>
          </w:p>
        </w:tc>
        <w:tc>
          <w:tcPr>
            <w:tcW w:type="dxa" w:w="4464"/>
            <w:shd w:val="clear" w:color="auto" w:fill="FFFFFF"/>
            <w:vAlign w:val="center"/>
          </w:tcPr>
          <w:p>
            <w:r>
              <w:rPr>
                <w:color w:val="444444"/>
                <w:sz w:val="18"/>
              </w:rPr>
              <w:t>Winning ad from last match run, or null</w:t>
            </w:r>
          </w:p>
        </w:tc>
      </w:tr>
    </w:tbl>
    <w:p>
      <w:pPr>
        <w:spacing w:after="80"/>
      </w:pPr>
    </w:p>
    <w:p>
      <w:pPr>
        <w:spacing w:before="240" w:after="40"/>
      </w:pPr>
      <w:r>
        <w:rPr>
          <w:b/>
          <w:color w:val="111010"/>
          <w:sz w:val="22"/>
        </w:rPr>
        <w:t>users/{uid}/earnings  (new — Phase 1)</w:t>
      </w:r>
    </w:p>
    <w:tbl>
      <w:tblPr>
        <w:tblStyle w:val="TableGrid"/>
        <w:tblW w:type="auto" w:w="0"/>
        <w:jc w:val="left"/>
        <w:tblLook w:firstColumn="1" w:firstRow="1" w:lastColumn="0" w:lastRow="0" w:noHBand="0" w:noVBand="1" w:val="04A0"/>
      </w:tblPr>
      <w:tblGrid>
        <w:gridCol w:w="3135"/>
        <w:gridCol w:w="3135"/>
        <w:gridCol w:w="3135"/>
      </w:tblGrid>
      <w:tr>
        <w:tc>
          <w:tcPr>
            <w:tcW w:type="dxa" w:w="2448"/>
            <w:shd w:val="clear" w:color="auto" w:fill="FF7043"/>
            <w:vAlign w:val="center"/>
          </w:tcPr>
          <w:p>
            <w:pPr>
              <w:jc w:val="left"/>
            </w:pPr>
            <w:r>
              <w:rPr>
                <w:b/>
                <w:color w:val="FFFFFF"/>
                <w:sz w:val="18"/>
              </w:rPr>
              <w:t>Field</w:t>
            </w:r>
          </w:p>
        </w:tc>
        <w:tc>
          <w:tcPr>
            <w:tcW w:type="dxa" w:w="1584"/>
            <w:shd w:val="clear" w:color="auto" w:fill="FF7043"/>
            <w:vAlign w:val="center"/>
          </w:tcPr>
          <w:p>
            <w:pPr>
              <w:jc w:val="left"/>
            </w:pPr>
            <w:r>
              <w:rPr>
                <w:b/>
                <w:color w:val="FFFFFF"/>
                <w:sz w:val="18"/>
              </w:rPr>
              <w:t>Type</w:t>
            </w:r>
          </w:p>
        </w:tc>
        <w:tc>
          <w:tcPr>
            <w:tcW w:type="dxa" w:w="4896"/>
            <w:shd w:val="clear" w:color="auto" w:fill="FF7043"/>
            <w:vAlign w:val="center"/>
          </w:tcPr>
          <w:p>
            <w:pPr>
              <w:jc w:val="left"/>
            </w:pPr>
            <w:r>
              <w:rPr>
                <w:b/>
                <w:color w:val="FFFFFF"/>
                <w:sz w:val="18"/>
              </w:rPr>
              <w:t>Description</w:t>
            </w:r>
          </w:p>
        </w:tc>
      </w:tr>
      <w:tr>
        <w:tc>
          <w:tcPr>
            <w:tcW w:type="dxa" w:w="2448"/>
            <w:shd w:val="clear" w:color="auto" w:fill="FFF5F2"/>
            <w:vAlign w:val="center"/>
          </w:tcPr>
          <w:p>
            <w:r>
              <w:rPr>
                <w:color w:val="444444"/>
                <w:sz w:val="18"/>
              </w:rPr>
              <w:t>lifetimeUsd</w:t>
            </w:r>
          </w:p>
        </w:tc>
        <w:tc>
          <w:tcPr>
            <w:tcW w:type="dxa" w:w="1584"/>
            <w:shd w:val="clear" w:color="auto" w:fill="FFF5F2"/>
            <w:vAlign w:val="center"/>
          </w:tcPr>
          <w:p>
            <w:r>
              <w:rPr>
                <w:color w:val="444444"/>
                <w:sz w:val="18"/>
              </w:rPr>
              <w:t>number</w:t>
            </w:r>
          </w:p>
        </w:tc>
        <w:tc>
          <w:tcPr>
            <w:tcW w:type="dxa" w:w="4896"/>
            <w:shd w:val="clear" w:color="auto" w:fill="FFF5F2"/>
            <w:vAlign w:val="center"/>
          </w:tcPr>
          <w:p>
            <w:r>
              <w:rPr>
                <w:color w:val="444444"/>
                <w:sz w:val="18"/>
              </w:rPr>
              <w:t>Total earned since account creation</w:t>
            </w:r>
          </w:p>
        </w:tc>
      </w:tr>
      <w:tr>
        <w:tc>
          <w:tcPr>
            <w:tcW w:type="dxa" w:w="2448"/>
            <w:shd w:val="clear" w:color="auto" w:fill="FFFFFF"/>
            <w:vAlign w:val="center"/>
          </w:tcPr>
          <w:p>
            <w:r>
              <w:rPr>
                <w:color w:val="444444"/>
                <w:sz w:val="18"/>
              </w:rPr>
              <w:t>pendingUsd</w:t>
            </w:r>
          </w:p>
        </w:tc>
        <w:tc>
          <w:tcPr>
            <w:tcW w:type="dxa" w:w="1584"/>
            <w:shd w:val="clear" w:color="auto" w:fill="FFFFFF"/>
            <w:vAlign w:val="center"/>
          </w:tcPr>
          <w:p>
            <w:r>
              <w:rPr>
                <w:color w:val="444444"/>
                <w:sz w:val="18"/>
              </w:rPr>
              <w:t>number</w:t>
            </w:r>
          </w:p>
        </w:tc>
        <w:tc>
          <w:tcPr>
            <w:tcW w:type="dxa" w:w="4896"/>
            <w:shd w:val="clear" w:color="auto" w:fill="FFFFFF"/>
            <w:vAlign w:val="center"/>
          </w:tcPr>
          <w:p>
            <w:r>
              <w:rPr>
                <w:color w:val="444444"/>
                <w:sz w:val="18"/>
              </w:rPr>
              <w:t>Earned but not yet paid out</w:t>
            </w:r>
          </w:p>
        </w:tc>
      </w:tr>
      <w:tr>
        <w:tc>
          <w:tcPr>
            <w:tcW w:type="dxa" w:w="2448"/>
            <w:shd w:val="clear" w:color="auto" w:fill="FFF5F2"/>
            <w:vAlign w:val="center"/>
          </w:tcPr>
          <w:p>
            <w:r>
              <w:rPr>
                <w:color w:val="444444"/>
                <w:sz w:val="18"/>
              </w:rPr>
              <w:t>lastUpdated</w:t>
            </w:r>
          </w:p>
        </w:tc>
        <w:tc>
          <w:tcPr>
            <w:tcW w:type="dxa" w:w="1584"/>
            <w:shd w:val="clear" w:color="auto" w:fill="FFF5F2"/>
            <w:vAlign w:val="center"/>
          </w:tcPr>
          <w:p>
            <w:r>
              <w:rPr>
                <w:color w:val="444444"/>
                <w:sz w:val="18"/>
              </w:rPr>
              <w:t>Timestamp</w:t>
            </w:r>
          </w:p>
        </w:tc>
        <w:tc>
          <w:tcPr>
            <w:tcW w:type="dxa" w:w="4896"/>
            <w:shd w:val="clear" w:color="auto" w:fill="FFF5F2"/>
            <w:vAlign w:val="center"/>
          </w:tcPr>
          <w:p>
            <w:r>
              <w:rPr>
                <w:color w:val="444444"/>
                <w:sz w:val="18"/>
              </w:rPr>
              <w:t>Timestamp of last increment</w:t>
            </w:r>
          </w:p>
        </w:tc>
      </w:tr>
    </w:tbl>
    <w:p>
      <w:pPr>
        <w:spacing w:after="80"/>
      </w:pPr>
    </w:p>
    <w:p>
      <w:pPr>
        <w:spacing w:before="360" w:after="80"/>
      </w:pPr>
      <w:r>
        <w:rPr>
          <w:b/>
          <w:color w:val="FF7043"/>
          <w:sz w:val="28"/>
        </w:rPr>
        <w:t>17. Security &amp; Permissions</w:t>
      </w:r>
    </w:p>
    <w:p>
      <w:pPr>
        <w:pBdr>
          <w:bottom w:val="single" w:sz="6" w:space="1" w:color="FF7043"/>
        </w:pBdr>
        <w:spacing w:after="0"/>
      </w:pP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FF7043"/>
            <w:vAlign w:val="center"/>
          </w:tcPr>
          <w:p>
            <w:pPr>
              <w:jc w:val="left"/>
            </w:pPr>
            <w:r>
              <w:rPr>
                <w:b/>
                <w:color w:val="FFFFFF"/>
                <w:sz w:val="18"/>
              </w:rPr>
              <w:t>Collection / action</w:t>
            </w:r>
          </w:p>
        </w:tc>
        <w:tc>
          <w:tcPr>
            <w:tcW w:type="dxa" w:w="2592"/>
            <w:shd w:val="clear" w:color="auto" w:fill="FF7043"/>
            <w:vAlign w:val="center"/>
          </w:tcPr>
          <w:p>
            <w:pPr>
              <w:jc w:val="left"/>
            </w:pPr>
            <w:r>
              <w:rPr>
                <w:b/>
                <w:color w:val="FFFFFF"/>
                <w:sz w:val="18"/>
              </w:rPr>
              <w:t>Allowed for</w:t>
            </w:r>
          </w:p>
        </w:tc>
        <w:tc>
          <w:tcPr>
            <w:tcW w:type="dxa" w:w="3168"/>
            <w:shd w:val="clear" w:color="auto" w:fill="FF7043"/>
            <w:vAlign w:val="center"/>
          </w:tcPr>
          <w:p>
            <w:pPr>
              <w:jc w:val="left"/>
            </w:pPr>
            <w:r>
              <w:rPr>
                <w:b/>
                <w:color w:val="FFFFFF"/>
                <w:sz w:val="18"/>
              </w:rPr>
              <w:t>Notes</w:t>
            </w:r>
          </w:p>
        </w:tc>
      </w:tr>
      <w:tr>
        <w:tc>
          <w:tcPr>
            <w:tcW w:type="dxa" w:w="3168"/>
            <w:shd w:val="clear" w:color="auto" w:fill="FFF5F2"/>
            <w:vAlign w:val="center"/>
          </w:tcPr>
          <w:p>
            <w:r>
              <w:rPr>
                <w:color w:val="444444"/>
                <w:sz w:val="18"/>
              </w:rPr>
              <w:t>ads — read</w:t>
            </w:r>
          </w:p>
        </w:tc>
        <w:tc>
          <w:tcPr>
            <w:tcW w:type="dxa" w:w="2592"/>
            <w:shd w:val="clear" w:color="auto" w:fill="FFF5F2"/>
            <w:vAlign w:val="center"/>
          </w:tcPr>
          <w:p>
            <w:r>
              <w:rPr>
                <w:color w:val="444444"/>
                <w:sz w:val="18"/>
              </w:rPr>
              <w:t>Any authenticated user</w:t>
            </w:r>
          </w:p>
        </w:tc>
        <w:tc>
          <w:tcPr>
            <w:tcW w:type="dxa" w:w="3168"/>
            <w:shd w:val="clear" w:color="auto" w:fill="FFF5F2"/>
            <w:vAlign w:val="center"/>
          </w:tcPr>
          <w:p>
            <w:r>
              <w:rPr>
                <w:color w:val="444444"/>
                <w:sz w:val="18"/>
              </w:rPr>
              <w:t>Required for ad matching queries</w:t>
            </w:r>
          </w:p>
        </w:tc>
      </w:tr>
      <w:tr>
        <w:tc>
          <w:tcPr>
            <w:tcW w:type="dxa" w:w="3168"/>
            <w:shd w:val="clear" w:color="auto" w:fill="FFFFFF"/>
            <w:vAlign w:val="center"/>
          </w:tcPr>
          <w:p>
            <w:r>
              <w:rPr>
                <w:color w:val="444444"/>
                <w:sz w:val="18"/>
              </w:rPr>
              <w:t>ads — create</w:t>
            </w:r>
          </w:p>
        </w:tc>
        <w:tc>
          <w:tcPr>
            <w:tcW w:type="dxa" w:w="2592"/>
            <w:shd w:val="clear" w:color="auto" w:fill="FFFFFF"/>
            <w:vAlign w:val="center"/>
          </w:tcPr>
          <w:p>
            <w:r>
              <w:rPr>
                <w:color w:val="444444"/>
                <w:sz w:val="18"/>
              </w:rPr>
              <w:t>Authenticated, own advertiserId</w:t>
            </w:r>
          </w:p>
        </w:tc>
        <w:tc>
          <w:tcPr>
            <w:tcW w:type="dxa" w:w="3168"/>
            <w:shd w:val="clear" w:color="auto" w:fill="FFFFFF"/>
            <w:vAlign w:val="center"/>
          </w:tcPr>
          <w:p>
            <w:r>
              <w:rPr>
                <w:color w:val="444444"/>
                <w:sz w:val="18"/>
              </w:rPr>
              <w:t>advertiserId must equal request.auth.uid</w:t>
            </w:r>
          </w:p>
        </w:tc>
      </w:tr>
      <w:tr>
        <w:tc>
          <w:tcPr>
            <w:tcW w:type="dxa" w:w="3168"/>
            <w:shd w:val="clear" w:color="auto" w:fill="FFF5F2"/>
            <w:vAlign w:val="center"/>
          </w:tcPr>
          <w:p>
            <w:r>
              <w:rPr>
                <w:color w:val="444444"/>
                <w:sz w:val="18"/>
              </w:rPr>
              <w:t>ads — update (full)</w:t>
            </w:r>
          </w:p>
        </w:tc>
        <w:tc>
          <w:tcPr>
            <w:tcW w:type="dxa" w:w="2592"/>
            <w:shd w:val="clear" w:color="auto" w:fill="FFF5F2"/>
            <w:vAlign w:val="center"/>
          </w:tcPr>
          <w:p>
            <w:r>
              <w:rPr>
                <w:color w:val="444444"/>
                <w:sz w:val="18"/>
              </w:rPr>
              <w:t>Owning advertiser only</w:t>
            </w:r>
          </w:p>
        </w:tc>
        <w:tc>
          <w:tcPr>
            <w:tcW w:type="dxa" w:w="3168"/>
            <w:shd w:val="clear" w:color="auto" w:fill="FFF5F2"/>
            <w:vAlign w:val="center"/>
          </w:tcPr>
          <w:p>
            <w:r>
              <w:rPr>
                <w:color w:val="444444"/>
                <w:sz w:val="18"/>
              </w:rPr>
              <w:t>For status changes, edits, keyword updates</w:t>
            </w:r>
          </w:p>
        </w:tc>
      </w:tr>
      <w:tr>
        <w:tc>
          <w:tcPr>
            <w:tcW w:type="dxa" w:w="3168"/>
            <w:shd w:val="clear" w:color="auto" w:fill="FFFFFF"/>
            <w:vAlign w:val="center"/>
          </w:tcPr>
          <w:p>
            <w:r>
              <w:rPr>
                <w:color w:val="444444"/>
                <w:sz w:val="18"/>
              </w:rPr>
              <w:t>ads — update (counters)</w:t>
            </w:r>
          </w:p>
        </w:tc>
        <w:tc>
          <w:tcPr>
            <w:tcW w:type="dxa" w:w="2592"/>
            <w:shd w:val="clear" w:color="auto" w:fill="FFFFFF"/>
            <w:vAlign w:val="center"/>
          </w:tcPr>
          <w:p>
            <w:r>
              <w:rPr>
                <w:color w:val="444444"/>
                <w:sz w:val="18"/>
              </w:rPr>
              <w:t>Any authenticated user</w:t>
            </w:r>
          </w:p>
        </w:tc>
        <w:tc>
          <w:tcPr>
            <w:tcW w:type="dxa" w:w="3168"/>
            <w:shd w:val="clear" w:color="auto" w:fill="FFFFFF"/>
            <w:vAlign w:val="center"/>
          </w:tcPr>
          <w:p>
            <w:r>
              <w:rPr>
                <w:color w:val="444444"/>
                <w:sz w:val="18"/>
              </w:rPr>
              <w:t>Only impressions/clicks fields whitelisted</w:t>
            </w:r>
          </w:p>
        </w:tc>
      </w:tr>
      <w:tr>
        <w:tc>
          <w:tcPr>
            <w:tcW w:type="dxa" w:w="3168"/>
            <w:shd w:val="clear" w:color="auto" w:fill="FFF5F2"/>
            <w:vAlign w:val="center"/>
          </w:tcPr>
          <w:p>
            <w:r>
              <w:rPr>
                <w:color w:val="444444"/>
                <w:sz w:val="18"/>
              </w:rPr>
              <w:t>ads — delete</w:t>
            </w:r>
          </w:p>
        </w:tc>
        <w:tc>
          <w:tcPr>
            <w:tcW w:type="dxa" w:w="2592"/>
            <w:shd w:val="clear" w:color="auto" w:fill="FFF5F2"/>
            <w:vAlign w:val="center"/>
          </w:tcPr>
          <w:p>
            <w:r>
              <w:rPr>
                <w:color w:val="444444"/>
                <w:sz w:val="18"/>
              </w:rPr>
              <w:t>Owning advertiser only</w:t>
            </w:r>
          </w:p>
        </w:tc>
        <w:tc>
          <w:tcPr>
            <w:tcW w:type="dxa" w:w="3168"/>
            <w:shd w:val="clear" w:color="auto" w:fill="FFF5F2"/>
            <w:vAlign w:val="center"/>
          </w:tcPr>
          <w:p>
            <w:r>
              <w:rPr>
                <w:color w:val="444444"/>
                <w:sz w:val="18"/>
              </w:rPr>
              <w:t>Permanent removal</w:t>
            </w:r>
          </w:p>
        </w:tc>
      </w:tr>
      <w:tr>
        <w:tc>
          <w:tcPr>
            <w:tcW w:type="dxa" w:w="3168"/>
            <w:shd w:val="clear" w:color="auto" w:fill="FFFFFF"/>
            <w:vAlign w:val="center"/>
          </w:tcPr>
          <w:p>
            <w:r>
              <w:rPr>
                <w:color w:val="444444"/>
                <w:sz w:val="18"/>
              </w:rPr>
              <w:t>streams — update (ad fields)</w:t>
            </w:r>
          </w:p>
        </w:tc>
        <w:tc>
          <w:tcPr>
            <w:tcW w:type="dxa" w:w="2592"/>
            <w:shd w:val="clear" w:color="auto" w:fill="FFFFFF"/>
            <w:vAlign w:val="center"/>
          </w:tcPr>
          <w:p>
            <w:r>
              <w:rPr>
                <w:color w:val="444444"/>
                <w:sz w:val="18"/>
              </w:rPr>
              <w:t>Stream host only</w:t>
            </w:r>
          </w:p>
        </w:tc>
        <w:tc>
          <w:tcPr>
            <w:tcW w:type="dxa" w:w="3168"/>
            <w:shd w:val="clear" w:color="auto" w:fill="FFFFFF"/>
            <w:vAlign w:val="center"/>
          </w:tcPr>
          <w:p>
            <w:r>
              <w:rPr>
                <w:color w:val="444444"/>
                <w:sz w:val="18"/>
              </w:rPr>
              <w:t>featuredProducts, featuredAd</w:t>
            </w:r>
          </w:p>
        </w:tc>
      </w:tr>
      <w:tr>
        <w:tc>
          <w:tcPr>
            <w:tcW w:type="dxa" w:w="3168"/>
            <w:shd w:val="clear" w:color="auto" w:fill="FFF5F2"/>
            <w:vAlign w:val="center"/>
          </w:tcPr>
          <w:p>
            <w:r>
              <w:rPr>
                <w:color w:val="444444"/>
                <w:sz w:val="18"/>
              </w:rPr>
              <w:t>streams — update (counters)</w:t>
            </w:r>
          </w:p>
        </w:tc>
        <w:tc>
          <w:tcPr>
            <w:tcW w:type="dxa" w:w="2592"/>
            <w:shd w:val="clear" w:color="auto" w:fill="FFF5F2"/>
            <w:vAlign w:val="center"/>
          </w:tcPr>
          <w:p>
            <w:r>
              <w:rPr>
                <w:color w:val="444444"/>
                <w:sz w:val="18"/>
              </w:rPr>
              <w:t>Any authenticated user</w:t>
            </w:r>
          </w:p>
        </w:tc>
        <w:tc>
          <w:tcPr>
            <w:tcW w:type="dxa" w:w="3168"/>
            <w:shd w:val="clear" w:color="auto" w:fill="FFF5F2"/>
            <w:vAlign w:val="center"/>
          </w:tcPr>
          <w:p>
            <w:r>
              <w:rPr>
                <w:color w:val="444444"/>
                <w:sz w:val="18"/>
              </w:rPr>
              <w:t>viewerCount, totalGifts, peakViewerCount</w:t>
            </w:r>
          </w:p>
        </w:tc>
      </w:tr>
      <w:tr>
        <w:tc>
          <w:tcPr>
            <w:tcW w:type="dxa" w:w="3168"/>
            <w:shd w:val="clear" w:color="auto" w:fill="FFFFFF"/>
            <w:vAlign w:val="center"/>
          </w:tcPr>
          <w:p>
            <w:r>
              <w:rPr>
                <w:color w:val="444444"/>
                <w:sz w:val="18"/>
              </w:rPr>
              <w:t>users/earnings — write</w:t>
            </w:r>
          </w:p>
        </w:tc>
        <w:tc>
          <w:tcPr>
            <w:tcW w:type="dxa" w:w="2592"/>
            <w:shd w:val="clear" w:color="auto" w:fill="FFFFFF"/>
            <w:vAlign w:val="center"/>
          </w:tcPr>
          <w:p>
            <w:r>
              <w:rPr>
                <w:color w:val="444444"/>
                <w:sz w:val="18"/>
              </w:rPr>
              <w:t>Cloud Functions only</w:t>
            </w:r>
          </w:p>
        </w:tc>
        <w:tc>
          <w:tcPr>
            <w:tcW w:type="dxa" w:w="3168"/>
            <w:shd w:val="clear" w:color="auto" w:fill="FFFFFF"/>
            <w:vAlign w:val="center"/>
          </w:tcPr>
          <w:p>
            <w:r>
              <w:rPr>
                <w:color w:val="444444"/>
                <w:sz w:val="18"/>
              </w:rPr>
              <w:t>Revenue share increments via server-side function</w:t>
            </w:r>
          </w:p>
        </w:tc>
      </w:tr>
    </w:tbl>
    <w:p>
      <w:pPr>
        <w:spacing w:after="80"/>
      </w:pPr>
    </w:p>
    <w:p>
      <w:pPr>
        <w:spacing w:before="360" w:after="80"/>
      </w:pPr>
      <w:r>
        <w:rPr>
          <w:b/>
          <w:color w:val="FF7043"/>
          <w:sz w:val="28"/>
        </w:rPr>
        <w:t>18. Product Gaps &amp; Build Roadmap</w:t>
      </w:r>
    </w:p>
    <w:p>
      <w:pPr>
        <w:pBdr>
          <w:bottom w:val="single" w:sz="6" w:space="1" w:color="FF7043"/>
        </w:pBdr>
        <w:spacing w:after="0"/>
      </w:pPr>
    </w:p>
    <w:p>
      <w:pPr>
        <w:spacing w:before="240" w:after="40"/>
      </w:pPr>
      <w:r>
        <w:rPr>
          <w:b/>
          <w:color w:val="111010"/>
          <w:sz w:val="22"/>
        </w:rPr>
        <w:t>Phase 1 — Unlock Managed Deals  (Months 1–3)</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FF7043"/>
            <w:vAlign w:val="center"/>
          </w:tcPr>
          <w:p>
            <w:pPr>
              <w:jc w:val="left"/>
            </w:pPr>
            <w:r>
              <w:rPr>
                <w:b/>
                <w:color w:val="FFFFFF"/>
                <w:sz w:val="18"/>
              </w:rPr>
              <w:t>Feature</w:t>
            </w:r>
          </w:p>
        </w:tc>
        <w:tc>
          <w:tcPr>
            <w:tcW w:type="dxa" w:w="4608"/>
            <w:shd w:val="clear" w:color="auto" w:fill="FF7043"/>
            <w:vAlign w:val="center"/>
          </w:tcPr>
          <w:p>
            <w:pPr>
              <w:jc w:val="left"/>
            </w:pPr>
            <w:r>
              <w:rPr>
                <w:b/>
                <w:color w:val="FFFFFF"/>
                <w:sz w:val="18"/>
              </w:rPr>
              <w:t>Description</w:t>
            </w:r>
          </w:p>
        </w:tc>
        <w:tc>
          <w:tcPr>
            <w:tcW w:type="dxa" w:w="1152"/>
            <w:shd w:val="clear" w:color="auto" w:fill="FF7043"/>
            <w:vAlign w:val="center"/>
          </w:tcPr>
          <w:p>
            <w:pPr>
              <w:jc w:val="left"/>
            </w:pPr>
            <w:r>
              <w:rPr>
                <w:b/>
                <w:color w:val="FFFFFF"/>
                <w:sz w:val="18"/>
              </w:rPr>
              <w:t>Priority</w:t>
            </w:r>
          </w:p>
        </w:tc>
      </w:tr>
      <w:tr>
        <w:tc>
          <w:tcPr>
            <w:tcW w:type="dxa" w:w="2880"/>
            <w:shd w:val="clear" w:color="auto" w:fill="FFF5F2"/>
            <w:vAlign w:val="center"/>
          </w:tcPr>
          <w:p>
            <w:r>
              <w:rPr>
                <w:color w:val="444444"/>
                <w:sz w:val="18"/>
              </w:rPr>
              <w:t>Category taxonomy</w:t>
            </w:r>
          </w:p>
        </w:tc>
        <w:tc>
          <w:tcPr>
            <w:tcW w:type="dxa" w:w="4608"/>
            <w:shd w:val="clear" w:color="auto" w:fill="FFF5F2"/>
            <w:vAlign w:val="center"/>
          </w:tcPr>
          <w:p>
            <w:r>
              <w:rPr>
                <w:color w:val="444444"/>
                <w:sz w:val="18"/>
              </w:rPr>
              <w:t>Add category field to ads + category classifier in scan result</w:t>
            </w:r>
          </w:p>
        </w:tc>
        <w:tc>
          <w:tcPr>
            <w:tcW w:type="dxa" w:w="1152"/>
            <w:shd w:val="clear" w:color="auto" w:fill="FFF5F2"/>
            <w:vAlign w:val="center"/>
          </w:tcPr>
          <w:p>
            <w:r>
              <w:rPr>
                <w:color w:val="444444"/>
                <w:sz w:val="18"/>
              </w:rPr>
              <w:t>P0</w:t>
            </w:r>
          </w:p>
        </w:tc>
      </w:tr>
      <w:tr>
        <w:tc>
          <w:tcPr>
            <w:tcW w:type="dxa" w:w="2880"/>
            <w:shd w:val="clear" w:color="auto" w:fill="FFFFFF"/>
            <w:vAlign w:val="center"/>
          </w:tcPr>
          <w:p>
            <w:r>
              <w:rPr>
                <w:color w:val="444444"/>
                <w:sz w:val="18"/>
              </w:rPr>
              <w:t>Streamer earnings widget</w:t>
            </w:r>
          </w:p>
        </w:tc>
        <w:tc>
          <w:tcPr>
            <w:tcW w:type="dxa" w:w="4608"/>
            <w:shd w:val="clear" w:color="auto" w:fill="FFFFFF"/>
            <w:vAlign w:val="center"/>
          </w:tcPr>
          <w:p>
            <w:r>
              <w:rPr>
                <w:color w:val="444444"/>
                <w:sz w:val="18"/>
              </w:rPr>
              <w:t>Real-time earnings display in Creator Studio</w:t>
            </w:r>
          </w:p>
        </w:tc>
        <w:tc>
          <w:tcPr>
            <w:tcW w:type="dxa" w:w="1152"/>
            <w:shd w:val="clear" w:color="auto" w:fill="FFFFFF"/>
            <w:vAlign w:val="center"/>
          </w:tcPr>
          <w:p>
            <w:r>
              <w:rPr>
                <w:color w:val="444444"/>
                <w:sz w:val="18"/>
              </w:rPr>
              <w:t>P0</w:t>
            </w:r>
          </w:p>
        </w:tc>
      </w:tr>
      <w:tr>
        <w:tc>
          <w:tcPr>
            <w:tcW w:type="dxa" w:w="2880"/>
            <w:shd w:val="clear" w:color="auto" w:fill="FFF5F2"/>
            <w:vAlign w:val="center"/>
          </w:tcPr>
          <w:p>
            <w:r>
              <w:rPr>
                <w:color w:val="444444"/>
                <w:sz w:val="18"/>
              </w:rPr>
              <w:t>Impression dwell-time</w:t>
            </w:r>
          </w:p>
        </w:tc>
        <w:tc>
          <w:tcPr>
            <w:tcW w:type="dxa" w:w="4608"/>
            <w:shd w:val="clear" w:color="auto" w:fill="FFF5F2"/>
            <w:vAlign w:val="center"/>
          </w:tcPr>
          <w:p>
            <w:r>
              <w:rPr>
                <w:color w:val="444444"/>
                <w:sz w:val="18"/>
              </w:rPr>
              <w:t>Enforce ≥ 1 s dwell before trackImpression fires</w:t>
            </w:r>
          </w:p>
        </w:tc>
        <w:tc>
          <w:tcPr>
            <w:tcW w:type="dxa" w:w="1152"/>
            <w:shd w:val="clear" w:color="auto" w:fill="FFF5F2"/>
            <w:vAlign w:val="center"/>
          </w:tcPr>
          <w:p>
            <w:r>
              <w:rPr>
                <w:color w:val="444444"/>
                <w:sz w:val="18"/>
              </w:rPr>
              <w:t>P0</w:t>
            </w:r>
          </w:p>
        </w:tc>
      </w:tr>
      <w:tr>
        <w:tc>
          <w:tcPr>
            <w:tcW w:type="dxa" w:w="2880"/>
            <w:shd w:val="clear" w:color="auto" w:fill="FFFFFF"/>
            <w:vAlign w:val="center"/>
          </w:tcPr>
          <w:p>
            <w:r>
              <w:rPr>
                <w:color w:val="444444"/>
                <w:sz w:val="18"/>
              </w:rPr>
              <w:t>Revenue share engine</w:t>
            </w:r>
          </w:p>
        </w:tc>
        <w:tc>
          <w:tcPr>
            <w:tcW w:type="dxa" w:w="4608"/>
            <w:shd w:val="clear" w:color="auto" w:fill="FFFFFF"/>
            <w:vAlign w:val="center"/>
          </w:tcPr>
          <w:p>
            <w:r>
              <w:rPr>
                <w:color w:val="444444"/>
                <w:sz w:val="18"/>
              </w:rPr>
              <w:t>Cloud Function to credit streamer wallet on session end</w:t>
            </w:r>
          </w:p>
        </w:tc>
        <w:tc>
          <w:tcPr>
            <w:tcW w:type="dxa" w:w="1152"/>
            <w:shd w:val="clear" w:color="auto" w:fill="FFFFFF"/>
            <w:vAlign w:val="center"/>
          </w:tcPr>
          <w:p>
            <w:r>
              <w:rPr>
                <w:color w:val="444444"/>
                <w:sz w:val="18"/>
              </w:rPr>
              <w:t>P1</w:t>
            </w:r>
          </w:p>
        </w:tc>
      </w:tr>
      <w:tr>
        <w:tc>
          <w:tcPr>
            <w:tcW w:type="dxa" w:w="2880"/>
            <w:shd w:val="clear" w:color="auto" w:fill="FFF5F2"/>
            <w:vAlign w:val="center"/>
          </w:tcPr>
          <w:p>
            <w:r>
              <w:rPr>
                <w:color w:val="444444"/>
                <w:sz w:val="18"/>
              </w:rPr>
              <w:t>Stripe billing</w:t>
            </w:r>
          </w:p>
        </w:tc>
        <w:tc>
          <w:tcPr>
            <w:tcW w:type="dxa" w:w="4608"/>
            <w:shd w:val="clear" w:color="auto" w:fill="FFF5F2"/>
            <w:vAlign w:val="center"/>
          </w:tcPr>
          <w:p>
            <w:r>
              <w:rPr>
                <w:color w:val="444444"/>
                <w:sz w:val="18"/>
              </w:rPr>
              <w:t>Self-serve payment for CPC/CPM spend; streamer payout via Connect</w:t>
            </w:r>
          </w:p>
        </w:tc>
        <w:tc>
          <w:tcPr>
            <w:tcW w:type="dxa" w:w="1152"/>
            <w:shd w:val="clear" w:color="auto" w:fill="FFF5F2"/>
            <w:vAlign w:val="center"/>
          </w:tcPr>
          <w:p>
            <w:r>
              <w:rPr>
                <w:color w:val="444444"/>
                <w:sz w:val="18"/>
              </w:rPr>
              <w:t>P1</w:t>
            </w:r>
          </w:p>
        </w:tc>
      </w:tr>
      <w:tr>
        <w:tc>
          <w:tcPr>
            <w:tcW w:type="dxa" w:w="2880"/>
            <w:shd w:val="clear" w:color="auto" w:fill="FFFFFF"/>
            <w:vAlign w:val="center"/>
          </w:tcPr>
          <w:p>
            <w:r>
              <w:rPr>
                <w:color w:val="444444"/>
                <w:sz w:val="18"/>
              </w:rPr>
              <w:t>Audience card</w:t>
            </w:r>
          </w:p>
        </w:tc>
        <w:tc>
          <w:tcPr>
            <w:tcW w:type="dxa" w:w="4608"/>
            <w:shd w:val="clear" w:color="auto" w:fill="FFFFFF"/>
            <w:vAlign w:val="center"/>
          </w:tcPr>
          <w:p>
            <w:r>
              <w:rPr>
                <w:color w:val="444444"/>
                <w:sz w:val="18"/>
              </w:rPr>
              <w:t>Per-category viewer demographic summary for advertisers</w:t>
            </w:r>
          </w:p>
        </w:tc>
        <w:tc>
          <w:tcPr>
            <w:tcW w:type="dxa" w:w="1152"/>
            <w:shd w:val="clear" w:color="auto" w:fill="FFFFFF"/>
            <w:vAlign w:val="center"/>
          </w:tcPr>
          <w:p>
            <w:r>
              <w:rPr>
                <w:color w:val="444444"/>
                <w:sz w:val="18"/>
              </w:rPr>
              <w:t>P1</w:t>
            </w:r>
          </w:p>
        </w:tc>
      </w:tr>
      <w:tr>
        <w:tc>
          <w:tcPr>
            <w:tcW w:type="dxa" w:w="2880"/>
            <w:shd w:val="clear" w:color="auto" w:fill="FFF5F2"/>
            <w:vAlign w:val="center"/>
          </w:tcPr>
          <w:p>
            <w:r>
              <w:rPr>
                <w:color w:val="444444"/>
                <w:sz w:val="18"/>
              </w:rPr>
              <w:t>Brand safety blocklist</w:t>
            </w:r>
          </w:p>
        </w:tc>
        <w:tc>
          <w:tcPr>
            <w:tcW w:type="dxa" w:w="4608"/>
            <w:shd w:val="clear" w:color="auto" w:fill="FFF5F2"/>
            <w:vAlign w:val="center"/>
          </w:tcPr>
          <w:p>
            <w:r>
              <w:rPr>
                <w:color w:val="444444"/>
                <w:sz w:val="18"/>
              </w:rPr>
              <w:t>Advertiser UI to exclude specific streamers or categories</w:t>
            </w:r>
          </w:p>
        </w:tc>
        <w:tc>
          <w:tcPr>
            <w:tcW w:type="dxa" w:w="1152"/>
            <w:shd w:val="clear" w:color="auto" w:fill="FFF5F2"/>
            <w:vAlign w:val="center"/>
          </w:tcPr>
          <w:p>
            <w:r>
              <w:rPr>
                <w:color w:val="444444"/>
                <w:sz w:val="18"/>
              </w:rPr>
              <w:t>P2</w:t>
            </w:r>
          </w:p>
        </w:tc>
      </w:tr>
    </w:tbl>
    <w:p>
      <w:pPr>
        <w:spacing w:after="80"/>
      </w:pPr>
    </w:p>
    <w:p>
      <w:pPr>
        <w:spacing w:before="240" w:after="40"/>
      </w:pPr>
      <w:r>
        <w:rPr>
          <w:b/>
          <w:color w:val="111010"/>
          <w:sz w:val="22"/>
        </w:rPr>
        <w:t>Phase 2 — Agency Channel  (Months 3–6)</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FF7043"/>
            <w:vAlign w:val="center"/>
          </w:tcPr>
          <w:p>
            <w:pPr>
              <w:jc w:val="left"/>
            </w:pPr>
            <w:r>
              <w:rPr>
                <w:b/>
                <w:color w:val="FFFFFF"/>
                <w:sz w:val="18"/>
              </w:rPr>
              <w:t>Feature</w:t>
            </w:r>
          </w:p>
        </w:tc>
        <w:tc>
          <w:tcPr>
            <w:tcW w:type="dxa" w:w="4608"/>
            <w:shd w:val="clear" w:color="auto" w:fill="FF7043"/>
            <w:vAlign w:val="center"/>
          </w:tcPr>
          <w:p>
            <w:pPr>
              <w:jc w:val="left"/>
            </w:pPr>
            <w:r>
              <w:rPr>
                <w:b/>
                <w:color w:val="FFFFFF"/>
                <w:sz w:val="18"/>
              </w:rPr>
              <w:t>Description</w:t>
            </w:r>
          </w:p>
        </w:tc>
        <w:tc>
          <w:tcPr>
            <w:tcW w:type="dxa" w:w="1152"/>
            <w:shd w:val="clear" w:color="auto" w:fill="FF7043"/>
            <w:vAlign w:val="center"/>
          </w:tcPr>
          <w:p>
            <w:pPr>
              <w:jc w:val="left"/>
            </w:pPr>
            <w:r>
              <w:rPr>
                <w:b/>
                <w:color w:val="FFFFFF"/>
                <w:sz w:val="18"/>
              </w:rPr>
              <w:t>Priority</w:t>
            </w:r>
          </w:p>
        </w:tc>
      </w:tr>
      <w:tr>
        <w:tc>
          <w:tcPr>
            <w:tcW w:type="dxa" w:w="2880"/>
            <w:shd w:val="clear" w:color="auto" w:fill="FFF5F2"/>
            <w:vAlign w:val="center"/>
          </w:tcPr>
          <w:p>
            <w:r>
              <w:rPr>
                <w:color w:val="444444"/>
                <w:sz w:val="18"/>
              </w:rPr>
              <w:t>Insertion order template</w:t>
            </w:r>
          </w:p>
        </w:tc>
        <w:tc>
          <w:tcPr>
            <w:tcW w:type="dxa" w:w="4608"/>
            <w:shd w:val="clear" w:color="auto" w:fill="FFF5F2"/>
            <w:vAlign w:val="center"/>
          </w:tcPr>
          <w:p>
            <w:r>
              <w:rPr>
                <w:color w:val="444444"/>
                <w:sz w:val="18"/>
              </w:rPr>
              <w:t>PDF contract with rate, flight dates, budget cap, cancellation</w:t>
            </w:r>
          </w:p>
        </w:tc>
        <w:tc>
          <w:tcPr>
            <w:tcW w:type="dxa" w:w="1152"/>
            <w:shd w:val="clear" w:color="auto" w:fill="FFF5F2"/>
            <w:vAlign w:val="center"/>
          </w:tcPr>
          <w:p>
            <w:r>
              <w:rPr>
                <w:color w:val="444444"/>
                <w:sz w:val="18"/>
              </w:rPr>
              <w:t>P0</w:t>
            </w:r>
          </w:p>
        </w:tc>
      </w:tr>
      <w:tr>
        <w:tc>
          <w:tcPr>
            <w:tcW w:type="dxa" w:w="2880"/>
            <w:shd w:val="clear" w:color="auto" w:fill="FFFFFF"/>
            <w:vAlign w:val="center"/>
          </w:tcPr>
          <w:p>
            <w:r>
              <w:rPr>
                <w:color w:val="444444"/>
                <w:sz w:val="18"/>
              </w:rPr>
              <w:t>Agency sub-accounts</w:t>
            </w:r>
          </w:p>
        </w:tc>
        <w:tc>
          <w:tcPr>
            <w:tcW w:type="dxa" w:w="4608"/>
            <w:shd w:val="clear" w:color="auto" w:fill="FFFFFF"/>
            <w:vAlign w:val="center"/>
          </w:tcPr>
          <w:p>
            <w:r>
              <w:rPr>
                <w:color w:val="444444"/>
                <w:sz w:val="18"/>
              </w:rPr>
              <w:t>Multi-brand management under one agency login</w:t>
            </w:r>
          </w:p>
        </w:tc>
        <w:tc>
          <w:tcPr>
            <w:tcW w:type="dxa" w:w="1152"/>
            <w:shd w:val="clear" w:color="auto" w:fill="FFFFFF"/>
            <w:vAlign w:val="center"/>
          </w:tcPr>
          <w:p>
            <w:r>
              <w:rPr>
                <w:color w:val="444444"/>
                <w:sz w:val="18"/>
              </w:rPr>
              <w:t>P0</w:t>
            </w:r>
          </w:p>
        </w:tc>
      </w:tr>
      <w:tr>
        <w:tc>
          <w:tcPr>
            <w:tcW w:type="dxa" w:w="2880"/>
            <w:shd w:val="clear" w:color="auto" w:fill="FFF5F2"/>
            <w:vAlign w:val="center"/>
          </w:tcPr>
          <w:p>
            <w:r>
              <w:rPr>
                <w:color w:val="444444"/>
                <w:sz w:val="18"/>
              </w:rPr>
              <w:t>Server-side click redirect</w:t>
            </w:r>
          </w:p>
        </w:tc>
        <w:tc>
          <w:tcPr>
            <w:tcW w:type="dxa" w:w="4608"/>
            <w:shd w:val="clear" w:color="auto" w:fill="FFF5F2"/>
            <w:vAlign w:val="center"/>
          </w:tcPr>
          <w:p>
            <w:r>
              <w:rPr>
                <w:color w:val="444444"/>
                <w:sz w:val="18"/>
              </w:rPr>
              <w:t>/api/affiliate redirect for MRC-auditable click logging</w:t>
            </w:r>
          </w:p>
        </w:tc>
        <w:tc>
          <w:tcPr>
            <w:tcW w:type="dxa" w:w="1152"/>
            <w:shd w:val="clear" w:color="auto" w:fill="FFF5F2"/>
            <w:vAlign w:val="center"/>
          </w:tcPr>
          <w:p>
            <w:r>
              <w:rPr>
                <w:color w:val="444444"/>
                <w:sz w:val="18"/>
              </w:rPr>
              <w:t>P1</w:t>
            </w:r>
          </w:p>
        </w:tc>
      </w:tr>
      <w:tr>
        <w:tc>
          <w:tcPr>
            <w:tcW w:type="dxa" w:w="2880"/>
            <w:shd w:val="clear" w:color="auto" w:fill="FFFFFF"/>
            <w:vAlign w:val="center"/>
          </w:tcPr>
          <w:p>
            <w:r>
              <w:rPr>
                <w:color w:val="444444"/>
                <w:sz w:val="18"/>
              </w:rPr>
              <w:t>Semantic ad matching</w:t>
            </w:r>
          </w:p>
        </w:tc>
        <w:tc>
          <w:tcPr>
            <w:tcW w:type="dxa" w:w="4608"/>
            <w:shd w:val="clear" w:color="auto" w:fill="FFFFFF"/>
            <w:vAlign w:val="center"/>
          </w:tcPr>
          <w:p>
            <w:r>
              <w:rPr>
                <w:color w:val="444444"/>
                <w:sz w:val="18"/>
              </w:rPr>
              <w:t>Vector embeddings replace keyword overlap for "shoes" ↔ "trainers"</w:t>
            </w:r>
          </w:p>
        </w:tc>
        <w:tc>
          <w:tcPr>
            <w:tcW w:type="dxa" w:w="1152"/>
            <w:shd w:val="clear" w:color="auto" w:fill="FFFFFF"/>
            <w:vAlign w:val="center"/>
          </w:tcPr>
          <w:p>
            <w:r>
              <w:rPr>
                <w:color w:val="444444"/>
                <w:sz w:val="18"/>
              </w:rPr>
              <w:t>P1</w:t>
            </w:r>
          </w:p>
        </w:tc>
      </w:tr>
      <w:tr>
        <w:tc>
          <w:tcPr>
            <w:tcW w:type="dxa" w:w="2880"/>
            <w:shd w:val="clear" w:color="auto" w:fill="FFF5F2"/>
            <w:vAlign w:val="center"/>
          </w:tcPr>
          <w:p>
            <w:r>
              <w:rPr>
                <w:color w:val="444444"/>
                <w:sz w:val="18"/>
              </w:rPr>
              <w:t>Multi-network affiliate</w:t>
            </w:r>
          </w:p>
        </w:tc>
        <w:tc>
          <w:tcPr>
            <w:tcW w:type="dxa" w:w="4608"/>
            <w:shd w:val="clear" w:color="auto" w:fill="FFF5F2"/>
            <w:vAlign w:val="center"/>
          </w:tcPr>
          <w:p>
            <w:r>
              <w:rPr>
                <w:color w:val="444444"/>
                <w:sz w:val="18"/>
              </w:rPr>
              <w:t>ShareASale, CJ Affiliate alongside Amazon; category routing</w:t>
            </w:r>
          </w:p>
        </w:tc>
        <w:tc>
          <w:tcPr>
            <w:tcW w:type="dxa" w:w="1152"/>
            <w:shd w:val="clear" w:color="auto" w:fill="FFF5F2"/>
            <w:vAlign w:val="center"/>
          </w:tcPr>
          <w:p>
            <w:r>
              <w:rPr>
                <w:color w:val="444444"/>
                <w:sz w:val="18"/>
              </w:rPr>
              <w:t>P2</w:t>
            </w:r>
          </w:p>
        </w:tc>
      </w:tr>
      <w:tr>
        <w:tc>
          <w:tcPr>
            <w:tcW w:type="dxa" w:w="2880"/>
            <w:shd w:val="clear" w:color="auto" w:fill="FFFFFF"/>
            <w:vAlign w:val="center"/>
          </w:tcPr>
          <w:p>
            <w:r>
              <w:rPr>
                <w:color w:val="444444"/>
                <w:sz w:val="18"/>
              </w:rPr>
              <w:t>Monthly reporting PDF</w:t>
            </w:r>
          </w:p>
        </w:tc>
        <w:tc>
          <w:tcPr>
            <w:tcW w:type="dxa" w:w="4608"/>
            <w:shd w:val="clear" w:color="auto" w:fill="FFFFFF"/>
            <w:vAlign w:val="center"/>
          </w:tcPr>
          <w:p>
            <w:r>
              <w:rPr>
                <w:color w:val="444444"/>
                <w:sz w:val="18"/>
              </w:rPr>
              <w:t>Auto-generated campaign report for agency Partner tier</w:t>
            </w:r>
          </w:p>
        </w:tc>
        <w:tc>
          <w:tcPr>
            <w:tcW w:type="dxa" w:w="1152"/>
            <w:shd w:val="clear" w:color="auto" w:fill="FFFFFF"/>
            <w:vAlign w:val="center"/>
          </w:tcPr>
          <w:p>
            <w:r>
              <w:rPr>
                <w:color w:val="444444"/>
                <w:sz w:val="18"/>
              </w:rPr>
              <w:t>P2</w:t>
            </w:r>
          </w:p>
        </w:tc>
      </w:tr>
    </w:tbl>
    <w:p>
      <w:pPr>
        <w:spacing w:after="80"/>
      </w:pPr>
    </w:p>
    <w:p>
      <w:pPr>
        <w:spacing w:before="240" w:after="40"/>
      </w:pPr>
      <w:r>
        <w:rPr>
          <w:b/>
          <w:color w:val="111010"/>
          <w:sz w:val="22"/>
        </w:rPr>
        <w:t>Phase 3 — Programmatic Scale  (Months 6–12)</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FF7043"/>
            <w:vAlign w:val="center"/>
          </w:tcPr>
          <w:p>
            <w:pPr>
              <w:jc w:val="left"/>
            </w:pPr>
            <w:r>
              <w:rPr>
                <w:b/>
                <w:color w:val="FFFFFF"/>
                <w:sz w:val="18"/>
              </w:rPr>
              <w:t>Feature</w:t>
            </w:r>
          </w:p>
        </w:tc>
        <w:tc>
          <w:tcPr>
            <w:tcW w:type="dxa" w:w="4608"/>
            <w:shd w:val="clear" w:color="auto" w:fill="FF7043"/>
            <w:vAlign w:val="center"/>
          </w:tcPr>
          <w:p>
            <w:pPr>
              <w:jc w:val="left"/>
            </w:pPr>
            <w:r>
              <w:rPr>
                <w:b/>
                <w:color w:val="FFFFFF"/>
                <w:sz w:val="18"/>
              </w:rPr>
              <w:t>Description</w:t>
            </w:r>
          </w:p>
        </w:tc>
        <w:tc>
          <w:tcPr>
            <w:tcW w:type="dxa" w:w="1152"/>
            <w:shd w:val="clear" w:color="auto" w:fill="FF7043"/>
            <w:vAlign w:val="center"/>
          </w:tcPr>
          <w:p>
            <w:pPr>
              <w:jc w:val="left"/>
            </w:pPr>
            <w:r>
              <w:rPr>
                <w:b/>
                <w:color w:val="FFFFFF"/>
                <w:sz w:val="18"/>
              </w:rPr>
              <w:t>Priority</w:t>
            </w:r>
          </w:p>
        </w:tc>
      </w:tr>
      <w:tr>
        <w:tc>
          <w:tcPr>
            <w:tcW w:type="dxa" w:w="2880"/>
            <w:shd w:val="clear" w:color="auto" w:fill="FFF5F2"/>
            <w:vAlign w:val="center"/>
          </w:tcPr>
          <w:p>
            <w:r>
              <w:rPr>
                <w:color w:val="444444"/>
                <w:sz w:val="18"/>
              </w:rPr>
              <w:t>OpenRTB integration</w:t>
            </w:r>
          </w:p>
        </w:tc>
        <w:tc>
          <w:tcPr>
            <w:tcW w:type="dxa" w:w="4608"/>
            <w:shd w:val="clear" w:color="auto" w:fill="FFF5F2"/>
            <w:vAlign w:val="center"/>
          </w:tcPr>
          <w:p>
            <w:r>
              <w:rPr>
                <w:color w:val="444444"/>
                <w:sz w:val="18"/>
              </w:rPr>
              <w:t>Bid request construction with Qaramia proprietary extensions</w:t>
            </w:r>
          </w:p>
        </w:tc>
        <w:tc>
          <w:tcPr>
            <w:tcW w:type="dxa" w:w="1152"/>
            <w:shd w:val="clear" w:color="auto" w:fill="FFF5F2"/>
            <w:vAlign w:val="center"/>
          </w:tcPr>
          <w:p>
            <w:r>
              <w:rPr>
                <w:color w:val="444444"/>
                <w:sz w:val="18"/>
              </w:rPr>
              <w:t>P0</w:t>
            </w:r>
          </w:p>
        </w:tc>
      </w:tr>
      <w:tr>
        <w:tc>
          <w:tcPr>
            <w:tcW w:type="dxa" w:w="2880"/>
            <w:shd w:val="clear" w:color="auto" w:fill="FFFFFF"/>
            <w:vAlign w:val="center"/>
          </w:tcPr>
          <w:p>
            <w:r>
              <w:rPr>
                <w:color w:val="444444"/>
                <w:sz w:val="18"/>
              </w:rPr>
              <w:t>SSP connection</w:t>
            </w:r>
          </w:p>
        </w:tc>
        <w:tc>
          <w:tcPr>
            <w:tcW w:type="dxa" w:w="4608"/>
            <w:shd w:val="clear" w:color="auto" w:fill="FFFFFF"/>
            <w:vAlign w:val="center"/>
          </w:tcPr>
          <w:p>
            <w:r>
              <w:rPr>
                <w:color w:val="444444"/>
                <w:sz w:val="18"/>
              </w:rPr>
              <w:t>Amazon Publisher Services + Google Ad Manager integration</w:t>
            </w:r>
          </w:p>
        </w:tc>
        <w:tc>
          <w:tcPr>
            <w:tcW w:type="dxa" w:w="1152"/>
            <w:shd w:val="clear" w:color="auto" w:fill="FFFFFF"/>
            <w:vAlign w:val="center"/>
          </w:tcPr>
          <w:p>
            <w:r>
              <w:rPr>
                <w:color w:val="444444"/>
                <w:sz w:val="18"/>
              </w:rPr>
              <w:t>P0</w:t>
            </w:r>
          </w:p>
        </w:tc>
      </w:tr>
      <w:tr>
        <w:tc>
          <w:tcPr>
            <w:tcW w:type="dxa" w:w="2880"/>
            <w:shd w:val="clear" w:color="auto" w:fill="FFF5F2"/>
            <w:vAlign w:val="center"/>
          </w:tcPr>
          <w:p>
            <w:r>
              <w:rPr>
                <w:color w:val="444444"/>
                <w:sz w:val="18"/>
              </w:rPr>
              <w:t>ads.txt / sellers.json</w:t>
            </w:r>
          </w:p>
        </w:tc>
        <w:tc>
          <w:tcPr>
            <w:tcW w:type="dxa" w:w="4608"/>
            <w:shd w:val="clear" w:color="auto" w:fill="FFF5F2"/>
            <w:vAlign w:val="center"/>
          </w:tcPr>
          <w:p>
            <w:r>
              <w:rPr>
                <w:color w:val="444444"/>
                <w:sz w:val="18"/>
              </w:rPr>
              <w:t>IAB supply-chain transparency files published at domain</w:t>
            </w:r>
          </w:p>
        </w:tc>
        <w:tc>
          <w:tcPr>
            <w:tcW w:type="dxa" w:w="1152"/>
            <w:shd w:val="clear" w:color="auto" w:fill="FFF5F2"/>
            <w:vAlign w:val="center"/>
          </w:tcPr>
          <w:p>
            <w:r>
              <w:rPr>
                <w:color w:val="444444"/>
                <w:sz w:val="18"/>
              </w:rPr>
              <w:t>P0</w:t>
            </w:r>
          </w:p>
        </w:tc>
      </w:tr>
      <w:tr>
        <w:tc>
          <w:tcPr>
            <w:tcW w:type="dxa" w:w="2880"/>
            <w:shd w:val="clear" w:color="auto" w:fill="FFFFFF"/>
            <w:vAlign w:val="center"/>
          </w:tcPr>
          <w:p>
            <w:r>
              <w:rPr>
                <w:color w:val="444444"/>
                <w:sz w:val="18"/>
              </w:rPr>
              <w:t>Real-time auction</w:t>
            </w:r>
          </w:p>
        </w:tc>
        <w:tc>
          <w:tcPr>
            <w:tcW w:type="dxa" w:w="4608"/>
            <w:shd w:val="clear" w:color="auto" w:fill="FFFFFF"/>
            <w:vAlign w:val="center"/>
          </w:tcPr>
          <w:p>
            <w:r>
              <w:rPr>
                <w:color w:val="444444"/>
                <w:sz w:val="18"/>
              </w:rPr>
              <w:t>Replace first-match with highest-bid-wins for direct+programmatic</w:t>
            </w:r>
          </w:p>
        </w:tc>
        <w:tc>
          <w:tcPr>
            <w:tcW w:type="dxa" w:w="1152"/>
            <w:shd w:val="clear" w:color="auto" w:fill="FFFFFF"/>
            <w:vAlign w:val="center"/>
          </w:tcPr>
          <w:p>
            <w:r>
              <w:rPr>
                <w:color w:val="444444"/>
                <w:sz w:val="18"/>
              </w:rPr>
              <w:t>P1</w:t>
            </w:r>
          </w:p>
        </w:tc>
      </w:tr>
      <w:tr>
        <w:tc>
          <w:tcPr>
            <w:tcW w:type="dxa" w:w="2880"/>
            <w:shd w:val="clear" w:color="auto" w:fill="FFF5F2"/>
            <w:vAlign w:val="center"/>
          </w:tcPr>
          <w:p>
            <w:r>
              <w:rPr>
                <w:color w:val="444444"/>
                <w:sz w:val="18"/>
              </w:rPr>
              <w:t>In-stream checkout</w:t>
            </w:r>
          </w:p>
        </w:tc>
        <w:tc>
          <w:tcPr>
            <w:tcW w:type="dxa" w:w="4608"/>
            <w:shd w:val="clear" w:color="auto" w:fill="FFF5F2"/>
            <w:vAlign w:val="center"/>
          </w:tcPr>
          <w:p>
            <w:r>
              <w:rPr>
                <w:color w:val="444444"/>
                <w:sz w:val="18"/>
              </w:rPr>
              <w:t>Add-to-cart and purchase completion without leaving stream</w:t>
            </w:r>
          </w:p>
        </w:tc>
        <w:tc>
          <w:tcPr>
            <w:tcW w:type="dxa" w:w="1152"/>
            <w:shd w:val="clear" w:color="auto" w:fill="FFF5F2"/>
            <w:vAlign w:val="center"/>
          </w:tcPr>
          <w:p>
            <w:r>
              <w:rPr>
                <w:color w:val="444444"/>
                <w:sz w:val="18"/>
              </w:rPr>
              <w:t>P2</w:t>
            </w:r>
          </w:p>
        </w:tc>
      </w:tr>
      <w:tr>
        <w:tc>
          <w:tcPr>
            <w:tcW w:type="dxa" w:w="2880"/>
            <w:shd w:val="clear" w:color="auto" w:fill="FFFFFF"/>
            <w:vAlign w:val="center"/>
          </w:tcPr>
          <w:p>
            <w:r>
              <w:rPr>
                <w:color w:val="444444"/>
                <w:sz w:val="18"/>
              </w:rPr>
              <w:t>Flutter mobile integration</w:t>
            </w:r>
          </w:p>
        </w:tc>
        <w:tc>
          <w:tcPr>
            <w:tcW w:type="dxa" w:w="4608"/>
            <w:shd w:val="clear" w:color="auto" w:fill="FFFFFF"/>
            <w:vAlign w:val="center"/>
          </w:tcPr>
          <w:p>
            <w:r>
              <w:rPr>
                <w:color w:val="444444"/>
                <w:sz w:val="18"/>
              </w:rPr>
              <w:t>Surface ProductDrawer natively in Qaramia mobile viewer app</w:t>
            </w:r>
          </w:p>
        </w:tc>
        <w:tc>
          <w:tcPr>
            <w:tcW w:type="dxa" w:w="1152"/>
            <w:shd w:val="clear" w:color="auto" w:fill="FFFFFF"/>
            <w:vAlign w:val="center"/>
          </w:tcPr>
          <w:p>
            <w:r>
              <w:rPr>
                <w:color w:val="444444"/>
                <w:sz w:val="18"/>
              </w:rPr>
              <w:t>P2</w:t>
            </w:r>
          </w:p>
        </w:tc>
      </w:tr>
      <w:tr>
        <w:tc>
          <w:tcPr>
            <w:tcW w:type="dxa" w:w="2880"/>
            <w:shd w:val="clear" w:color="auto" w:fill="FFF5F2"/>
            <w:vAlign w:val="center"/>
          </w:tcPr>
          <w:p>
            <w:r>
              <w:rPr>
                <w:color w:val="444444"/>
                <w:sz w:val="18"/>
              </w:rPr>
              <w:t>Purchase postback</w:t>
            </w:r>
          </w:p>
        </w:tc>
        <w:tc>
          <w:tcPr>
            <w:tcW w:type="dxa" w:w="4608"/>
            <w:shd w:val="clear" w:color="auto" w:fill="FFF5F2"/>
            <w:vAlign w:val="center"/>
          </w:tcPr>
          <w:p>
            <w:r>
              <w:rPr>
                <w:color w:val="444444"/>
                <w:sz w:val="18"/>
              </w:rPr>
              <w:t>Affiliate network postback URLs to confirm conversion attribution</w:t>
            </w:r>
          </w:p>
        </w:tc>
        <w:tc>
          <w:tcPr>
            <w:tcW w:type="dxa" w:w="1152"/>
            <w:shd w:val="clear" w:color="auto" w:fill="FFF5F2"/>
            <w:vAlign w:val="center"/>
          </w:tcPr>
          <w:p>
            <w:r>
              <w:rPr>
                <w:color w:val="444444"/>
                <w:sz w:val="18"/>
              </w:rPr>
              <w:t>P2</w:t>
            </w:r>
          </w:p>
        </w:tc>
      </w:tr>
    </w:tbl>
    <w:p>
      <w:pPr>
        <w:spacing w:after="80"/>
      </w:pPr>
    </w:p>
    <w:p>
      <w:pPr>
        <w:spacing w:before="360" w:after="80"/>
      </w:pPr>
      <w:r>
        <w:rPr>
          <w:b/>
          <w:color w:val="FF7043"/>
          <w:sz w:val="28"/>
        </w:rPr>
        <w:t>19. Glossary</w:t>
      </w:r>
    </w:p>
    <w:p>
      <w:pPr>
        <w:pBdr>
          <w:bottom w:val="single" w:sz="6" w:space="1" w:color="FF7043"/>
        </w:pBdr>
        <w:spacing w:after="0"/>
      </w:pPr>
    </w:p>
    <w:p>
      <w:pPr>
        <w:spacing w:before="40" w:after="40"/>
      </w:pPr>
      <w:r>
        <w:rPr>
          <w:b/>
          <w:color w:val="111010"/>
          <w:sz w:val="20"/>
        </w:rPr>
        <w:t xml:space="preserve">Affiliate tag — </w:t>
      </w:r>
      <w:r>
        <w:rPr>
          <w:color w:val="444444"/>
          <w:sz w:val="20"/>
        </w:rPr>
        <w:t>The Amazon Associates tracking parameter (&amp;tag=...) appended to search URLs to attribute clicks and commissions to Qaramia.</w:t>
      </w:r>
    </w:p>
    <w:p>
      <w:pPr>
        <w:spacing w:before="40" w:after="40"/>
      </w:pPr>
      <w:r>
        <w:rPr>
          <w:b/>
          <w:color w:val="111010"/>
          <w:sz w:val="20"/>
        </w:rPr>
        <w:t xml:space="preserve">AffiliateCard — </w:t>
      </w:r>
      <w:r>
        <w:rPr>
          <w:color w:val="444444"/>
          <w:sz w:val="20"/>
        </w:rPr>
        <w:t>The fallback commerce card shown in the ProductDrawer when no paid ad matched; links to Amazon affiliate search.</w:t>
      </w:r>
    </w:p>
    <w:p>
      <w:pPr>
        <w:spacing w:before="40" w:after="40"/>
      </w:pPr>
      <w:r>
        <w:rPr>
          <w:b/>
          <w:color w:val="111010"/>
          <w:sz w:val="20"/>
        </w:rPr>
        <w:t xml:space="preserve">Anchor brand — </w:t>
      </w:r>
      <w:r>
        <w:rPr>
          <w:color w:val="444444"/>
          <w:sz w:val="20"/>
        </w:rPr>
        <w:t>A Phase 1 managed-deal advertiser; one per key vertical; provides case-study data to seed the agency channel.</w:t>
      </w:r>
    </w:p>
    <w:p>
      <w:pPr>
        <w:spacing w:before="40" w:after="40"/>
      </w:pPr>
      <w:r>
        <w:rPr>
          <w:b/>
          <w:color w:val="111010"/>
          <w:sz w:val="20"/>
        </w:rPr>
        <w:t xml:space="preserve">Category targeting — </w:t>
      </w:r>
      <w:r>
        <w:rPr>
          <w:color w:val="444444"/>
          <w:sz w:val="20"/>
        </w:rPr>
        <w:t>Buying ad inventory based on the detected product's category (beauty, food, tech, etc.) rather than specific keywords.</w:t>
      </w:r>
    </w:p>
    <w:p>
      <w:pPr>
        <w:spacing w:before="40" w:after="40"/>
      </w:pPr>
      <w:r>
        <w:rPr>
          <w:b/>
          <w:color w:val="111010"/>
          <w:sz w:val="20"/>
        </w:rPr>
        <w:t xml:space="preserve">CPM — </w:t>
      </w:r>
      <w:r>
        <w:rPr>
          <w:color w:val="444444"/>
          <w:sz w:val="20"/>
        </w:rPr>
        <w:t>Cost per thousand impressions. The standard pricing unit for awareness-oriented ad buys.</w:t>
      </w:r>
    </w:p>
    <w:p>
      <w:pPr>
        <w:spacing w:before="40" w:after="40"/>
      </w:pPr>
      <w:r>
        <w:rPr>
          <w:b/>
          <w:color w:val="111010"/>
          <w:sz w:val="20"/>
        </w:rPr>
        <w:t xml:space="preserve">CPC — </w:t>
      </w:r>
      <w:r>
        <w:rPr>
          <w:color w:val="444444"/>
          <w:sz w:val="20"/>
        </w:rPr>
        <w:t>Cost per click. Pricing unit where the advertiser pays only when a viewer taps the CTA.</w:t>
      </w:r>
    </w:p>
    <w:p>
      <w:pPr>
        <w:spacing w:before="40" w:after="40"/>
      </w:pPr>
      <w:r>
        <w:rPr>
          <w:b/>
          <w:color w:val="111010"/>
          <w:sz w:val="20"/>
        </w:rPr>
        <w:t xml:space="preserve">DSP — </w:t>
      </w:r>
      <w:r>
        <w:rPr>
          <w:color w:val="444444"/>
          <w:sz w:val="20"/>
        </w:rPr>
        <w:t>Demand-Side Platform. Software agencies use to buy programmatic advertising across multiple ad exchanges simultaneously.</w:t>
      </w:r>
    </w:p>
    <w:p>
      <w:pPr>
        <w:spacing w:before="40" w:after="40"/>
      </w:pPr>
      <w:r>
        <w:rPr>
          <w:b/>
          <w:color w:val="111010"/>
          <w:sz w:val="20"/>
        </w:rPr>
        <w:t xml:space="preserve">Impression — </w:t>
      </w:r>
      <w:r>
        <w:rPr>
          <w:color w:val="444444"/>
          <w:sz w:val="20"/>
        </w:rPr>
        <w:t>One opening of the ProductDrawer while a specific ad is displayed, with ≥ 1 second dwell time, by a viewer who has not already logged an impression for that ad in this session.</w:t>
      </w:r>
    </w:p>
    <w:p>
      <w:pPr>
        <w:spacing w:before="40" w:after="40"/>
      </w:pPr>
      <w:r>
        <w:rPr>
          <w:b/>
          <w:color w:val="111010"/>
          <w:sz w:val="20"/>
        </w:rPr>
        <w:t xml:space="preserve">IO — </w:t>
      </w:r>
      <w:r>
        <w:rPr>
          <w:color w:val="444444"/>
          <w:sz w:val="20"/>
        </w:rPr>
        <w:t>Insertion Order. The standard advertising contract specifying rate, flight dates, budget cap, and cancellation terms.</w:t>
      </w:r>
    </w:p>
    <w:p>
      <w:pPr>
        <w:spacing w:before="40" w:after="40"/>
      </w:pPr>
      <w:r>
        <w:rPr>
          <w:b/>
          <w:color w:val="111010"/>
          <w:sz w:val="20"/>
        </w:rPr>
        <w:t xml:space="preserve">MRC — </w:t>
      </w:r>
      <w:r>
        <w:rPr>
          <w:color w:val="444444"/>
          <w:sz w:val="20"/>
        </w:rPr>
        <w:t>Media Rating Council. The industry body that sets measurement standards for digital advertising viewability and fraud.</w:t>
      </w:r>
    </w:p>
    <w:p>
      <w:pPr>
        <w:spacing w:before="40" w:after="40"/>
      </w:pPr>
      <w:r>
        <w:rPr>
          <w:b/>
          <w:color w:val="111010"/>
          <w:sz w:val="20"/>
        </w:rPr>
        <w:t xml:space="preserve">OpenRTB — </w:t>
      </w:r>
      <w:r>
        <w:rPr>
          <w:color w:val="444444"/>
          <w:sz w:val="20"/>
        </w:rPr>
        <w:t>The IAB standard protocol for real-time programmatic ad auctions between SSPs (supply) and DSPs (demand).</w:t>
      </w:r>
    </w:p>
    <w:p>
      <w:pPr>
        <w:spacing w:before="40" w:after="40"/>
      </w:pPr>
      <w:r>
        <w:rPr>
          <w:b/>
          <w:color w:val="111010"/>
          <w:sz w:val="20"/>
        </w:rPr>
        <w:t xml:space="preserve">PMP — </w:t>
      </w:r>
      <w:r>
        <w:rPr>
          <w:color w:val="444444"/>
          <w:sz w:val="20"/>
        </w:rPr>
        <w:t>Private Marketplace. A programmatic deal between a publisher and a select set of buyers at a negotiated floor price.</w:t>
      </w:r>
    </w:p>
    <w:p>
      <w:pPr>
        <w:spacing w:before="40" w:after="40"/>
      </w:pPr>
      <w:r>
        <w:rPr>
          <w:b/>
          <w:color w:val="111010"/>
          <w:sz w:val="20"/>
        </w:rPr>
        <w:t xml:space="preserve">ProductDrawer — </w:t>
      </w:r>
      <w:r>
        <w:rPr>
          <w:color w:val="444444"/>
          <w:sz w:val="20"/>
        </w:rPr>
        <w:t>The floating icon and slide-up drawer UI surface that presents detected products and the matched ad to stream viewers.</w:t>
      </w:r>
    </w:p>
    <w:p>
      <w:pPr>
        <w:spacing w:before="40" w:after="40"/>
      </w:pPr>
      <w:r>
        <w:rPr>
          <w:b/>
          <w:color w:val="111010"/>
          <w:sz w:val="20"/>
        </w:rPr>
        <w:t xml:space="preserve">SponsoredCard — </w:t>
      </w:r>
      <w:r>
        <w:rPr>
          <w:color w:val="444444"/>
          <w:sz w:val="20"/>
        </w:rPr>
        <w:t>The paid ad card rendered at the top of the ProductDrawer when a direct advertiser's campaign matched the detected products.</w:t>
      </w:r>
    </w:p>
    <w:p>
      <w:pPr>
        <w:spacing w:before="40" w:after="40"/>
      </w:pPr>
      <w:r>
        <w:rPr>
          <w:b/>
          <w:color w:val="111010"/>
          <w:sz w:val="20"/>
        </w:rPr>
        <w:t xml:space="preserve">SSP — </w:t>
      </w:r>
      <w:r>
        <w:rPr>
          <w:color w:val="444444"/>
          <w:sz w:val="20"/>
        </w:rPr>
        <w:t>Supply-Side Platform. Software that helps publishers sell programmatic advertising inventory to DSPs.</w:t>
      </w:r>
    </w:p>
    <w:p>
      <w:pPr>
        <w:spacing w:before="40" w:after="40"/>
      </w:pPr>
      <w:r>
        <w:rPr>
          <w:b/>
          <w:color w:val="111010"/>
          <w:sz w:val="20"/>
        </w:rPr>
        <w:t xml:space="preserve">Witnessing-triggered — </w:t>
      </w:r>
      <w:r>
        <w:rPr>
          <w:color w:val="444444"/>
          <w:sz w:val="20"/>
        </w:rPr>
        <w:t>Qaramia's proprietary descriptor for an ad impression served because a viewer physically witnessed the relevant product on screen — the core differentiator vs demographic or behavioural targeting.</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