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5414" w:type="pct"/>
        <w:tblInd w:w="-792" w:type="dxa"/>
        <w:tblLook w:val="07E0" w:firstRow="1" w:lastRow="1" w:firstColumn="1" w:lastColumn="1" w:noHBand="1" w:noVBand="1"/>
      </w:tblPr>
      <w:tblGrid>
        <w:gridCol w:w="2554"/>
        <w:gridCol w:w="2550"/>
        <w:gridCol w:w="1936"/>
        <w:gridCol w:w="2023"/>
        <w:gridCol w:w="1072"/>
      </w:tblGrid>
      <w:tr w:rsidR="00E17549" w:rsidTr="00E17549">
        <w:trPr>
          <w:trHeight w:val="602"/>
        </w:trPr>
        <w:tc>
          <w:tcPr>
            <w:tcW w:w="1260" w:type="pct"/>
            <w:tcBorders>
              <w:bottom w:val="single" w:sz="0" w:space="0" w:color="auto"/>
            </w:tcBorders>
            <w:vAlign w:val="bottom"/>
          </w:tcPr>
          <w:p w:rsidR="000E223F" w:rsidRPr="00E17549" w:rsidRDefault="000E223F">
            <w:pPr>
              <w:rPr>
                <w:b/>
                <w:bCs/>
              </w:rPr>
            </w:pPr>
          </w:p>
        </w:tc>
        <w:tc>
          <w:tcPr>
            <w:tcW w:w="1258" w:type="pct"/>
            <w:tcBorders>
              <w:bottom w:val="single" w:sz="0" w:space="0" w:color="auto"/>
            </w:tcBorders>
            <w:vAlign w:val="bottom"/>
          </w:tcPr>
          <w:p w:rsidR="000E223F" w:rsidRPr="00E17549" w:rsidRDefault="00E17549">
            <w:pPr>
              <w:pStyle w:val="Compact"/>
              <w:jc w:val="center"/>
              <w:rPr>
                <w:b/>
                <w:bCs/>
              </w:rPr>
            </w:pPr>
            <w:r w:rsidRPr="00E17549">
              <w:rPr>
                <w:b/>
                <w:bCs/>
              </w:rPr>
              <w:t>LBP resolvers</w:t>
            </w:r>
            <w:r w:rsidR="006B7157" w:rsidRPr="00E17549">
              <w:rPr>
                <w:b/>
                <w:bCs/>
              </w:rPr>
              <w:t xml:space="preserve"> (N=1788)</w:t>
            </w:r>
          </w:p>
        </w:tc>
        <w:tc>
          <w:tcPr>
            <w:tcW w:w="955" w:type="pct"/>
            <w:tcBorders>
              <w:bottom w:val="single" w:sz="0" w:space="0" w:color="auto"/>
            </w:tcBorders>
            <w:vAlign w:val="bottom"/>
          </w:tcPr>
          <w:p w:rsidR="000E223F" w:rsidRPr="00E17549" w:rsidRDefault="00E17549">
            <w:pPr>
              <w:pStyle w:val="Compact"/>
              <w:jc w:val="center"/>
              <w:rPr>
                <w:b/>
                <w:bCs/>
              </w:rPr>
            </w:pPr>
            <w:r w:rsidRPr="00E17549">
              <w:rPr>
                <w:b/>
                <w:bCs/>
              </w:rPr>
              <w:t>Chronic LBP</w:t>
            </w:r>
            <w:r w:rsidR="006B7157" w:rsidRPr="00E17549">
              <w:rPr>
                <w:b/>
                <w:bCs/>
              </w:rPr>
              <w:t xml:space="preserve"> (N=2273)</w:t>
            </w:r>
          </w:p>
        </w:tc>
        <w:tc>
          <w:tcPr>
            <w:tcW w:w="998" w:type="pct"/>
            <w:tcBorders>
              <w:bottom w:val="single" w:sz="0" w:space="0" w:color="auto"/>
            </w:tcBorders>
            <w:vAlign w:val="bottom"/>
          </w:tcPr>
          <w:p w:rsidR="000E223F" w:rsidRPr="00E17549" w:rsidRDefault="006B7157">
            <w:pPr>
              <w:pStyle w:val="Compact"/>
              <w:jc w:val="center"/>
              <w:rPr>
                <w:b/>
                <w:bCs/>
              </w:rPr>
            </w:pPr>
            <w:r w:rsidRPr="00E17549">
              <w:rPr>
                <w:b/>
                <w:bCs/>
              </w:rPr>
              <w:t>Total (N=4061)</w:t>
            </w:r>
          </w:p>
        </w:tc>
        <w:tc>
          <w:tcPr>
            <w:tcW w:w="529" w:type="pct"/>
            <w:tcBorders>
              <w:bottom w:val="single" w:sz="0" w:space="0" w:color="auto"/>
            </w:tcBorders>
            <w:vAlign w:val="bottom"/>
          </w:tcPr>
          <w:p w:rsidR="000E223F" w:rsidRPr="00E17549" w:rsidRDefault="006B7157">
            <w:pPr>
              <w:pStyle w:val="Compact"/>
              <w:jc w:val="right"/>
              <w:rPr>
                <w:b/>
                <w:bCs/>
              </w:rPr>
            </w:pPr>
            <w:r w:rsidRPr="00E17549">
              <w:rPr>
                <w:b/>
                <w:bCs/>
              </w:rPr>
              <w:t>p value</w:t>
            </w:r>
          </w:p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E17549">
            <w:pPr>
              <w:pStyle w:val="Compact"/>
            </w:pPr>
            <w:r>
              <w:rPr>
                <w:b/>
              </w:rPr>
              <w:t>Acute pain sites (v0)</w:t>
            </w:r>
          </w:p>
        </w:tc>
        <w:tc>
          <w:tcPr>
            <w:tcW w:w="1258" w:type="pct"/>
          </w:tcPr>
          <w:p w:rsidR="000E223F" w:rsidRDefault="000E223F"/>
        </w:tc>
        <w:tc>
          <w:tcPr>
            <w:tcW w:w="955" w:type="pct"/>
          </w:tcPr>
          <w:p w:rsidR="000E223F" w:rsidRDefault="000E223F"/>
        </w:tc>
        <w:tc>
          <w:tcPr>
            <w:tcW w:w="998" w:type="pct"/>
          </w:tcPr>
          <w:p w:rsidR="000E223F" w:rsidRDefault="000E223F"/>
        </w:tc>
        <w:tc>
          <w:tcPr>
            <w:tcW w:w="529" w:type="pct"/>
          </w:tcPr>
          <w:p w:rsidR="000E223F" w:rsidRDefault="006B7157">
            <w:pPr>
              <w:pStyle w:val="Compact"/>
              <w:jc w:val="right"/>
            </w:pPr>
            <w:r>
              <w:t>&lt; 0.001</w:t>
            </w:r>
          </w:p>
        </w:tc>
        <w:bookmarkStart w:id="0" w:name="_GoBack"/>
        <w:bookmarkEnd w:id="0"/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Mean (SD)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1.848 (1.007)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2.735 (1.335)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2.344 (1.280)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Range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1.000 - 6.000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1.000 - 7.000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1.000 - 7.000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E17549">
            <w:pPr>
              <w:pStyle w:val="Compact"/>
            </w:pPr>
            <w:r>
              <w:rPr>
                <w:b/>
              </w:rPr>
              <w:t>Chronic pain sites</w:t>
            </w:r>
          </w:p>
        </w:tc>
        <w:tc>
          <w:tcPr>
            <w:tcW w:w="1258" w:type="pct"/>
          </w:tcPr>
          <w:p w:rsidR="000E223F" w:rsidRDefault="000E223F"/>
        </w:tc>
        <w:tc>
          <w:tcPr>
            <w:tcW w:w="955" w:type="pct"/>
          </w:tcPr>
          <w:p w:rsidR="000E223F" w:rsidRDefault="000E223F"/>
        </w:tc>
        <w:tc>
          <w:tcPr>
            <w:tcW w:w="998" w:type="pct"/>
          </w:tcPr>
          <w:p w:rsidR="000E223F" w:rsidRDefault="000E223F"/>
        </w:tc>
        <w:tc>
          <w:tcPr>
            <w:tcW w:w="529" w:type="pct"/>
          </w:tcPr>
          <w:p w:rsidR="000E223F" w:rsidRDefault="006B7157">
            <w:pPr>
              <w:pStyle w:val="Compact"/>
              <w:jc w:val="right"/>
            </w:pPr>
            <w:r>
              <w:t>&lt; 0.001</w:t>
            </w:r>
          </w:p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Mean (SD)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0.000 (0.000)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1.871 (1.021)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1.047 (1.203)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65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Range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0.000 - 0.000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1.000 - 7.000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0.000 - 7.000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rPr>
                <w:b/>
              </w:rPr>
              <w:t>WBC</w:t>
            </w:r>
            <w:r w:rsidR="00E17549">
              <w:rPr>
                <w:b/>
              </w:rPr>
              <w:t xml:space="preserve"> count (</w:t>
            </w:r>
            <w:r>
              <w:rPr>
                <w:b/>
              </w:rPr>
              <w:t>v0</w:t>
            </w:r>
            <w:r w:rsidR="00E17549">
              <w:rPr>
                <w:b/>
              </w:rPr>
              <w:t>)</w:t>
            </w:r>
          </w:p>
        </w:tc>
        <w:tc>
          <w:tcPr>
            <w:tcW w:w="1258" w:type="pct"/>
          </w:tcPr>
          <w:p w:rsidR="000E223F" w:rsidRDefault="000E223F"/>
        </w:tc>
        <w:tc>
          <w:tcPr>
            <w:tcW w:w="955" w:type="pct"/>
          </w:tcPr>
          <w:p w:rsidR="000E223F" w:rsidRDefault="000E223F"/>
        </w:tc>
        <w:tc>
          <w:tcPr>
            <w:tcW w:w="998" w:type="pct"/>
          </w:tcPr>
          <w:p w:rsidR="000E223F" w:rsidRDefault="000E223F"/>
        </w:tc>
        <w:tc>
          <w:tcPr>
            <w:tcW w:w="529" w:type="pct"/>
          </w:tcPr>
          <w:p w:rsidR="000E223F" w:rsidRDefault="006B7157">
            <w:pPr>
              <w:pStyle w:val="Compact"/>
              <w:jc w:val="right"/>
            </w:pPr>
            <w:r>
              <w:t>&lt; 0.001</w:t>
            </w:r>
          </w:p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N-Miss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131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155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286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Mean (SD)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6.531 (1.515)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6.739 (1.571)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6.648 (1.550)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Range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2.700 - 11.200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2.600 - 11.170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2.600 - 11.200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rPr>
                <w:b/>
              </w:rPr>
              <w:t>WBC</w:t>
            </w:r>
            <w:r w:rsidR="00E17549">
              <w:rPr>
                <w:b/>
              </w:rPr>
              <w:t xml:space="preserve"> count (</w:t>
            </w:r>
            <w:r>
              <w:rPr>
                <w:b/>
              </w:rPr>
              <w:t>v1</w:t>
            </w:r>
            <w:r w:rsidR="00E17549">
              <w:rPr>
                <w:b/>
              </w:rPr>
              <w:t>)</w:t>
            </w:r>
          </w:p>
        </w:tc>
        <w:tc>
          <w:tcPr>
            <w:tcW w:w="1258" w:type="pct"/>
          </w:tcPr>
          <w:p w:rsidR="000E223F" w:rsidRDefault="000E223F"/>
        </w:tc>
        <w:tc>
          <w:tcPr>
            <w:tcW w:w="955" w:type="pct"/>
          </w:tcPr>
          <w:p w:rsidR="000E223F" w:rsidRDefault="000E223F"/>
        </w:tc>
        <w:tc>
          <w:tcPr>
            <w:tcW w:w="998" w:type="pct"/>
          </w:tcPr>
          <w:p w:rsidR="000E223F" w:rsidRDefault="000E223F"/>
        </w:tc>
        <w:tc>
          <w:tcPr>
            <w:tcW w:w="529" w:type="pct"/>
          </w:tcPr>
          <w:p w:rsidR="000E223F" w:rsidRDefault="006B7157">
            <w:pPr>
              <w:pStyle w:val="Compact"/>
              <w:jc w:val="right"/>
            </w:pPr>
            <w:r>
              <w:t>&lt; 0.001</w:t>
            </w:r>
          </w:p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N-Miss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301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424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725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Mean (SD)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6.615 (1.463)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6.801 (1.501)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6.718 (1.486)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Range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2.600 - 10.720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2.800 - 10.860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2.600 - 10.860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65"/>
        </w:trPr>
        <w:tc>
          <w:tcPr>
            <w:tcW w:w="1260" w:type="pct"/>
          </w:tcPr>
          <w:p w:rsidR="000E223F" w:rsidRDefault="00E17549">
            <w:pPr>
              <w:pStyle w:val="Compact"/>
            </w:pPr>
            <w:r>
              <w:rPr>
                <w:b/>
              </w:rPr>
              <w:t>N</w:t>
            </w:r>
            <w:r w:rsidR="006B7157">
              <w:rPr>
                <w:b/>
              </w:rPr>
              <w:t>eutro</w:t>
            </w:r>
            <w:r>
              <w:rPr>
                <w:b/>
              </w:rPr>
              <w:t xml:space="preserve"> count (</w:t>
            </w:r>
            <w:r w:rsidR="006B7157">
              <w:rPr>
                <w:b/>
              </w:rPr>
              <w:t>v0</w:t>
            </w:r>
            <w:r>
              <w:rPr>
                <w:b/>
              </w:rPr>
              <w:t>)</w:t>
            </w:r>
          </w:p>
        </w:tc>
        <w:tc>
          <w:tcPr>
            <w:tcW w:w="1258" w:type="pct"/>
          </w:tcPr>
          <w:p w:rsidR="000E223F" w:rsidRDefault="000E223F"/>
        </w:tc>
        <w:tc>
          <w:tcPr>
            <w:tcW w:w="955" w:type="pct"/>
          </w:tcPr>
          <w:p w:rsidR="000E223F" w:rsidRDefault="000E223F"/>
        </w:tc>
        <w:tc>
          <w:tcPr>
            <w:tcW w:w="998" w:type="pct"/>
          </w:tcPr>
          <w:p w:rsidR="000E223F" w:rsidRDefault="000E223F"/>
        </w:tc>
        <w:tc>
          <w:tcPr>
            <w:tcW w:w="529" w:type="pct"/>
          </w:tcPr>
          <w:p w:rsidR="000E223F" w:rsidRDefault="006B7157">
            <w:pPr>
              <w:pStyle w:val="Compact"/>
              <w:jc w:val="right"/>
            </w:pPr>
            <w:r>
              <w:t>&lt; 0.001</w:t>
            </w:r>
          </w:p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N-Miss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169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307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Mean (SD)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3.952 (1.136)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4.090 (1.201)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4.030 (1.175)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Range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1.200 - 7.500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1.200 - 7.500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1.200 - 7.500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E17549">
            <w:pPr>
              <w:pStyle w:val="Compact"/>
            </w:pPr>
            <w:r>
              <w:rPr>
                <w:b/>
              </w:rPr>
              <w:t>N</w:t>
            </w:r>
            <w:r w:rsidR="006B7157">
              <w:rPr>
                <w:b/>
              </w:rPr>
              <w:t>eutro</w:t>
            </w:r>
            <w:r>
              <w:rPr>
                <w:b/>
              </w:rPr>
              <w:t xml:space="preserve"> count (v1)</w:t>
            </w:r>
          </w:p>
        </w:tc>
        <w:tc>
          <w:tcPr>
            <w:tcW w:w="1258" w:type="pct"/>
          </w:tcPr>
          <w:p w:rsidR="000E223F" w:rsidRDefault="000E223F"/>
        </w:tc>
        <w:tc>
          <w:tcPr>
            <w:tcW w:w="955" w:type="pct"/>
          </w:tcPr>
          <w:p w:rsidR="000E223F" w:rsidRDefault="000E223F"/>
        </w:tc>
        <w:tc>
          <w:tcPr>
            <w:tcW w:w="998" w:type="pct"/>
          </w:tcPr>
          <w:p w:rsidR="000E223F" w:rsidRDefault="000E223F"/>
        </w:tc>
        <w:tc>
          <w:tcPr>
            <w:tcW w:w="529" w:type="pct"/>
          </w:tcPr>
          <w:p w:rsidR="000E223F" w:rsidRDefault="006B7157">
            <w:pPr>
              <w:pStyle w:val="Compact"/>
              <w:jc w:val="right"/>
            </w:pPr>
            <w:r>
              <w:t>0.198</w:t>
            </w:r>
          </w:p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N-Miss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303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432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735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Mean (SD)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4.152 (1.178)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4.205 (1.177)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4.181 (1.178)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Range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1.260 - 7.660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1.400 - 7.390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1.260 - 7.660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65"/>
        </w:trPr>
        <w:tc>
          <w:tcPr>
            <w:tcW w:w="1260" w:type="pct"/>
          </w:tcPr>
          <w:p w:rsidR="000E223F" w:rsidRDefault="00E17549">
            <w:pPr>
              <w:pStyle w:val="Compact"/>
            </w:pPr>
            <w:r>
              <w:rPr>
                <w:b/>
              </w:rPr>
              <w:t>N</w:t>
            </w:r>
            <w:r w:rsidR="006B7157">
              <w:rPr>
                <w:b/>
              </w:rPr>
              <w:t>eutro</w:t>
            </w:r>
            <w:r>
              <w:rPr>
                <w:b/>
              </w:rPr>
              <w:t xml:space="preserve"> % (</w:t>
            </w:r>
            <w:r w:rsidR="006B7157">
              <w:rPr>
                <w:b/>
              </w:rPr>
              <w:t>v0</w:t>
            </w:r>
            <w:r>
              <w:rPr>
                <w:b/>
              </w:rPr>
              <w:t>)</w:t>
            </w:r>
          </w:p>
        </w:tc>
        <w:tc>
          <w:tcPr>
            <w:tcW w:w="1258" w:type="pct"/>
          </w:tcPr>
          <w:p w:rsidR="000E223F" w:rsidRDefault="000E223F"/>
        </w:tc>
        <w:tc>
          <w:tcPr>
            <w:tcW w:w="955" w:type="pct"/>
          </w:tcPr>
          <w:p w:rsidR="000E223F" w:rsidRDefault="000E223F"/>
        </w:tc>
        <w:tc>
          <w:tcPr>
            <w:tcW w:w="998" w:type="pct"/>
          </w:tcPr>
          <w:p w:rsidR="000E223F" w:rsidRDefault="000E223F"/>
        </w:tc>
        <w:tc>
          <w:tcPr>
            <w:tcW w:w="529" w:type="pct"/>
          </w:tcPr>
          <w:p w:rsidR="000E223F" w:rsidRDefault="006B7157">
            <w:pPr>
              <w:pStyle w:val="Compact"/>
              <w:jc w:val="right"/>
            </w:pPr>
            <w:r>
              <w:t>0.468</w:t>
            </w:r>
          </w:p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N-Miss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125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135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260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Mean (SD)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60.662 (7.630)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60.846 (7.867)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60.766 (7.764)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lastRenderedPageBreak/>
              <w:t>   Range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40.290 - 82.200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39.670 - 82.400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39.670 - 82.400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E17549">
            <w:pPr>
              <w:pStyle w:val="Compact"/>
            </w:pPr>
            <w:r>
              <w:rPr>
                <w:b/>
              </w:rPr>
              <w:t>N</w:t>
            </w:r>
            <w:r w:rsidR="006B7157">
              <w:rPr>
                <w:b/>
              </w:rPr>
              <w:t>eutro</w:t>
            </w:r>
            <w:r>
              <w:rPr>
                <w:b/>
              </w:rPr>
              <w:t xml:space="preserve"> % (</w:t>
            </w:r>
            <w:r w:rsidR="006B7157">
              <w:rPr>
                <w:b/>
              </w:rPr>
              <w:t>v1</w:t>
            </w:r>
            <w:r>
              <w:rPr>
                <w:b/>
              </w:rPr>
              <w:t>)</w:t>
            </w:r>
          </w:p>
        </w:tc>
        <w:tc>
          <w:tcPr>
            <w:tcW w:w="1258" w:type="pct"/>
          </w:tcPr>
          <w:p w:rsidR="000E223F" w:rsidRDefault="000E223F"/>
        </w:tc>
        <w:tc>
          <w:tcPr>
            <w:tcW w:w="955" w:type="pct"/>
          </w:tcPr>
          <w:p w:rsidR="000E223F" w:rsidRDefault="000E223F"/>
        </w:tc>
        <w:tc>
          <w:tcPr>
            <w:tcW w:w="998" w:type="pct"/>
          </w:tcPr>
          <w:p w:rsidR="000E223F" w:rsidRDefault="000E223F"/>
        </w:tc>
        <w:tc>
          <w:tcPr>
            <w:tcW w:w="529" w:type="pct"/>
          </w:tcPr>
          <w:p w:rsidR="000E223F" w:rsidRDefault="006B7157">
            <w:pPr>
              <w:pStyle w:val="Compact"/>
              <w:jc w:val="right"/>
            </w:pPr>
            <w:r>
              <w:t>0.114</w:t>
            </w:r>
          </w:p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N-Miss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283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397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680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Mean (SD)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62.488 (8.189)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62.033 (8.419)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62.235 (8.319)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65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Range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40.200 - 84.100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39.600 - 85.200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39.600 - 85.200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E17549">
            <w:pPr>
              <w:pStyle w:val="Compact"/>
            </w:pPr>
            <w:r>
              <w:rPr>
                <w:b/>
              </w:rPr>
              <w:t>A</w:t>
            </w:r>
            <w:r w:rsidR="006B7157">
              <w:rPr>
                <w:b/>
              </w:rPr>
              <w:t>ge</w:t>
            </w:r>
          </w:p>
        </w:tc>
        <w:tc>
          <w:tcPr>
            <w:tcW w:w="1258" w:type="pct"/>
          </w:tcPr>
          <w:p w:rsidR="000E223F" w:rsidRDefault="000E223F"/>
        </w:tc>
        <w:tc>
          <w:tcPr>
            <w:tcW w:w="955" w:type="pct"/>
          </w:tcPr>
          <w:p w:rsidR="000E223F" w:rsidRDefault="000E223F"/>
        </w:tc>
        <w:tc>
          <w:tcPr>
            <w:tcW w:w="998" w:type="pct"/>
          </w:tcPr>
          <w:p w:rsidR="000E223F" w:rsidRDefault="000E223F"/>
        </w:tc>
        <w:tc>
          <w:tcPr>
            <w:tcW w:w="529" w:type="pct"/>
          </w:tcPr>
          <w:p w:rsidR="000E223F" w:rsidRDefault="006B7157">
            <w:pPr>
              <w:pStyle w:val="Compact"/>
              <w:jc w:val="right"/>
            </w:pPr>
            <w:r>
              <w:t>0.394</w:t>
            </w:r>
          </w:p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N-Miss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36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23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59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Mean (SD)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56.801 (7.603)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56.594 (7.658)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56.685 (7.633)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Range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40.000 - 73.000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40.000 - 70.000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40.000 - 73.000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E17549">
            <w:pPr>
              <w:pStyle w:val="Compact"/>
            </w:pPr>
            <w:r>
              <w:rPr>
                <w:b/>
              </w:rPr>
              <w:t>S</w:t>
            </w:r>
            <w:r w:rsidR="006B7157">
              <w:rPr>
                <w:b/>
              </w:rPr>
              <w:t>ex</w:t>
            </w:r>
          </w:p>
        </w:tc>
        <w:tc>
          <w:tcPr>
            <w:tcW w:w="1258" w:type="pct"/>
          </w:tcPr>
          <w:p w:rsidR="000E223F" w:rsidRDefault="000E223F"/>
        </w:tc>
        <w:tc>
          <w:tcPr>
            <w:tcW w:w="955" w:type="pct"/>
          </w:tcPr>
          <w:p w:rsidR="000E223F" w:rsidRDefault="000E223F"/>
        </w:tc>
        <w:tc>
          <w:tcPr>
            <w:tcW w:w="998" w:type="pct"/>
          </w:tcPr>
          <w:p w:rsidR="000E223F" w:rsidRDefault="000E223F"/>
        </w:tc>
        <w:tc>
          <w:tcPr>
            <w:tcW w:w="529" w:type="pct"/>
          </w:tcPr>
          <w:p w:rsidR="000E223F" w:rsidRDefault="006B7157">
            <w:pPr>
              <w:pStyle w:val="Compact"/>
              <w:jc w:val="right"/>
            </w:pPr>
            <w:r>
              <w:t>&lt; 0.001</w:t>
            </w:r>
          </w:p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N-Miss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36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23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59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F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799 (45.6%)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1204 (53.5%)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2003 (50.0%)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M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953 (54.4%)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1046 (46.5%)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1999 (50.0%)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65"/>
        </w:trPr>
        <w:tc>
          <w:tcPr>
            <w:tcW w:w="1260" w:type="pct"/>
          </w:tcPr>
          <w:p w:rsidR="000E223F" w:rsidRDefault="00E17549">
            <w:pPr>
              <w:pStyle w:val="Compact"/>
            </w:pPr>
            <w:r>
              <w:rPr>
                <w:b/>
              </w:rPr>
              <w:t>E</w:t>
            </w:r>
            <w:r w:rsidR="006B7157">
              <w:rPr>
                <w:b/>
              </w:rPr>
              <w:t>thnicity</w:t>
            </w:r>
          </w:p>
        </w:tc>
        <w:tc>
          <w:tcPr>
            <w:tcW w:w="1258" w:type="pct"/>
          </w:tcPr>
          <w:p w:rsidR="000E223F" w:rsidRDefault="000E223F"/>
        </w:tc>
        <w:tc>
          <w:tcPr>
            <w:tcW w:w="955" w:type="pct"/>
          </w:tcPr>
          <w:p w:rsidR="000E223F" w:rsidRDefault="000E223F"/>
        </w:tc>
        <w:tc>
          <w:tcPr>
            <w:tcW w:w="998" w:type="pct"/>
          </w:tcPr>
          <w:p w:rsidR="000E223F" w:rsidRDefault="000E223F"/>
        </w:tc>
        <w:tc>
          <w:tcPr>
            <w:tcW w:w="529" w:type="pct"/>
          </w:tcPr>
          <w:p w:rsidR="000E223F" w:rsidRDefault="006B7157">
            <w:pPr>
              <w:pStyle w:val="Compact"/>
              <w:jc w:val="right"/>
            </w:pPr>
            <w:r>
              <w:t>0.154</w:t>
            </w:r>
          </w:p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N-Miss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1264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1612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2876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ASIAN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9 (1.7%)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6 (0.9%)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15 (1.3%)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BLACK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5 (0.8%)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5 (0.4%)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MIXED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1 (0.2%)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4 (0.6%)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5 (0.4%)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OTHER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7 (1.3%)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9 (1.4%)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16 (1.4%)</w:t>
            </w:r>
          </w:p>
        </w:tc>
        <w:tc>
          <w:tcPr>
            <w:tcW w:w="529" w:type="pct"/>
          </w:tcPr>
          <w:p w:rsidR="000E223F" w:rsidRDefault="000E223F"/>
        </w:tc>
      </w:tr>
      <w:tr w:rsidR="00E17549" w:rsidTr="00E17549">
        <w:trPr>
          <w:trHeight w:val="454"/>
        </w:trPr>
        <w:tc>
          <w:tcPr>
            <w:tcW w:w="1260" w:type="pct"/>
          </w:tcPr>
          <w:p w:rsidR="000E223F" w:rsidRDefault="006B7157">
            <w:pPr>
              <w:pStyle w:val="Compact"/>
            </w:pPr>
            <w:r>
              <w:t>   WHITE</w:t>
            </w:r>
          </w:p>
        </w:tc>
        <w:tc>
          <w:tcPr>
            <w:tcW w:w="1258" w:type="pct"/>
          </w:tcPr>
          <w:p w:rsidR="000E223F" w:rsidRDefault="006B7157">
            <w:pPr>
              <w:pStyle w:val="Compact"/>
              <w:jc w:val="center"/>
            </w:pPr>
            <w:r>
              <w:t>507 (96.8%)</w:t>
            </w:r>
          </w:p>
        </w:tc>
        <w:tc>
          <w:tcPr>
            <w:tcW w:w="955" w:type="pct"/>
          </w:tcPr>
          <w:p w:rsidR="000E223F" w:rsidRDefault="006B7157">
            <w:pPr>
              <w:pStyle w:val="Compact"/>
              <w:jc w:val="center"/>
            </w:pPr>
            <w:r>
              <w:t>637 (96.4%)</w:t>
            </w:r>
          </w:p>
        </w:tc>
        <w:tc>
          <w:tcPr>
            <w:tcW w:w="998" w:type="pct"/>
          </w:tcPr>
          <w:p w:rsidR="000E223F" w:rsidRDefault="006B7157">
            <w:pPr>
              <w:pStyle w:val="Compact"/>
              <w:jc w:val="center"/>
            </w:pPr>
            <w:r>
              <w:t>1144 (96.5%)</w:t>
            </w:r>
          </w:p>
        </w:tc>
        <w:tc>
          <w:tcPr>
            <w:tcW w:w="529" w:type="pct"/>
          </w:tcPr>
          <w:p w:rsidR="000E223F" w:rsidRDefault="000E223F"/>
        </w:tc>
      </w:tr>
    </w:tbl>
    <w:p w:rsidR="006B7157" w:rsidRDefault="006B7157"/>
    <w:sectPr w:rsidR="006B715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157" w:rsidRDefault="006B7157">
      <w:pPr>
        <w:spacing w:after="0"/>
      </w:pPr>
      <w:r>
        <w:separator/>
      </w:r>
    </w:p>
  </w:endnote>
  <w:endnote w:type="continuationSeparator" w:id="0">
    <w:p w:rsidR="006B7157" w:rsidRDefault="006B71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157" w:rsidRDefault="006B7157">
      <w:r>
        <w:separator/>
      </w:r>
    </w:p>
  </w:footnote>
  <w:footnote w:type="continuationSeparator" w:id="0">
    <w:p w:rsidR="006B7157" w:rsidRDefault="006B7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0A385D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223F"/>
    <w:rsid w:val="004E29B3"/>
    <w:rsid w:val="00590D07"/>
    <w:rsid w:val="006B7157"/>
    <w:rsid w:val="00784D58"/>
    <w:rsid w:val="008D6863"/>
    <w:rsid w:val="00B86B75"/>
    <w:rsid w:val="00BC48D5"/>
    <w:rsid w:val="00C36279"/>
    <w:rsid w:val="00E1754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93A6"/>
  <w15:docId w15:val="{3E11471A-040E-49E9-9AAA-661830E9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Verma</dc:creator>
  <cp:keywords/>
  <cp:lastModifiedBy>Vivek Verma</cp:lastModifiedBy>
  <cp:revision>3</cp:revision>
  <dcterms:created xsi:type="dcterms:W3CDTF">2020-10-11T23:19:00Z</dcterms:created>
  <dcterms:modified xsi:type="dcterms:W3CDTF">2020-10-11T23:19:00Z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