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2B55"/>
          <w:sz w:val="52"/>
        </w:rPr>
        <w:t>LendingClub Loan Default Risk Analysis</w:t>
      </w:r>
    </w:p>
    <w:p/>
    <w:p>
      <w:pPr>
        <w:jc w:val="center"/>
      </w:pPr>
      <w:r>
        <w:rPr>
          <w:color w:val="1F497D"/>
          <w:sz w:val="28"/>
        </w:rPr>
        <w:t>A Complete Machine Learning Project:</w:t>
        <w:br/>
        <w:t>From Raw Data to Business Impact</w:t>
      </w:r>
    </w:p>
    <w:p/>
    <w:p/>
    <w:tbl>
      <w:tblPr>
        <w:tblStyle w:val="TableGrid"/>
        <w:tblW w:type="auto" w:w="0"/>
        <w:tblLook w:firstColumn="1" w:firstRow="1" w:lastColumn="0" w:lastRow="0" w:noHBand="0" w:noVBand="1" w:val="04A0"/>
      </w:tblPr>
      <w:tblGrid>
        <w:gridCol w:w="8640"/>
      </w:tblGrid>
      <w:tr>
        <w:tc>
          <w:tcPr>
            <w:tcW w:type="dxa" w:w="8640"/>
            <w:shd w:val="clear" w:color="auto" w:fill="1F497D"/>
          </w:tcPr>
          <w:p>
            <w:pPr>
              <w:spacing w:before="200" w:after="200"/>
              <w:jc w:val="center"/>
            </w:pPr>
            <w:r>
              <w:rPr>
                <w:b/>
                <w:color w:val="FFFFFF"/>
                <w:sz w:val="22"/>
              </w:rPr>
              <w:t>Dataset: LendingClub 2007–2018   |   1.35 Million Loans Analysed</w:t>
              <w:br/>
              <w:t>Model: XGBoost   |   AUC: 0.7170   |   Default Rate Reduced: 64%</w:t>
            </w:r>
          </w:p>
        </w:tc>
      </w:tr>
    </w:tbl>
    <w:p/>
    <w:p/>
    <w:p>
      <w:pPr>
        <w:jc w:val="center"/>
      </w:pPr>
      <w:r>
        <w:rPr>
          <w:i/>
          <w:color w:val="555555"/>
          <w:sz w:val="20"/>
        </w:rPr>
        <w:t>This report is written for both technical and non-technical readers.</w:t>
        <w:br/>
        <w:t>Every concept is explained in plain English before the analysis.</w:t>
      </w:r>
    </w:p>
    <w:p>
      <w:r>
        <w:br w:type="page"/>
      </w:r>
    </w:p>
    <w:p>
      <w:pPr>
        <w:pStyle w:val="Heading1"/>
        <w:spacing w:before="240" w:after="120"/>
      </w:pPr>
      <w:r>
        <w:rPr>
          <w:color w:val="0D2B55"/>
        </w:rPr>
        <w:t>Table of Contents</w:t>
      </w:r>
    </w:p>
    <w:p>
      <w:pPr>
        <w:spacing w:after="60" w:before="20"/>
      </w:pPr>
      <w:r>
        <w:rPr>
          <w:b/>
          <w:color w:val="1F497D"/>
        </w:rPr>
        <w:t xml:space="preserve">1.  </w:t>
      </w:r>
      <w:r>
        <w:rPr>
          <w:sz w:val="20"/>
        </w:rPr>
        <w:t>Executive Summary</w:t>
      </w:r>
    </w:p>
    <w:p>
      <w:pPr>
        <w:spacing w:after="60" w:before="20"/>
      </w:pPr>
      <w:r>
        <w:rPr>
          <w:b/>
          <w:color w:val="1F497D"/>
        </w:rPr>
        <w:t xml:space="preserve">2.  </w:t>
      </w:r>
      <w:r>
        <w:rPr>
          <w:sz w:val="20"/>
        </w:rPr>
        <w:t>Background — What Is This Project About?</w:t>
      </w:r>
    </w:p>
    <w:p>
      <w:pPr>
        <w:spacing w:after="60" w:before="20"/>
      </w:pPr>
      <w:r>
        <w:rPr>
          <w:b/>
          <w:color w:val="1F497D"/>
        </w:rPr>
        <w:t xml:space="preserve">3.  </w:t>
      </w:r>
      <w:r>
        <w:rPr>
          <w:sz w:val="20"/>
        </w:rPr>
        <w:t>The Dataset</w:t>
      </w:r>
    </w:p>
    <w:p>
      <w:pPr>
        <w:spacing w:after="60" w:before="20"/>
      </w:pPr>
      <w:r>
        <w:rPr>
          <w:b/>
          <w:color w:val="1F497D"/>
        </w:rPr>
        <w:t xml:space="preserve">3.5  </w:t>
      </w:r>
      <w:r>
        <w:rPr>
          <w:sz w:val="20"/>
        </w:rPr>
        <w:t>The Rejected Applications — Completing the Picture</w:t>
      </w:r>
    </w:p>
    <w:p>
      <w:pPr>
        <w:spacing w:after="60" w:before="20"/>
      </w:pPr>
      <w:r>
        <w:rPr>
          <w:b/>
          <w:color w:val="1F497D"/>
        </w:rPr>
        <w:t xml:space="preserve">4.  </w:t>
      </w:r>
      <w:r>
        <w:rPr>
          <w:sz w:val="20"/>
        </w:rPr>
        <w:t>Project Objectives &amp; Business Problem</w:t>
      </w:r>
    </w:p>
    <w:p>
      <w:pPr>
        <w:spacing w:after="60" w:before="20"/>
      </w:pPr>
      <w:r>
        <w:rPr>
          <w:b/>
          <w:color w:val="1F497D"/>
        </w:rPr>
        <w:t xml:space="preserve">5.  </w:t>
      </w:r>
      <w:r>
        <w:rPr>
          <w:sz w:val="20"/>
        </w:rPr>
        <w:t>Exploratory Data Analysis (EDA)</w:t>
      </w:r>
    </w:p>
    <w:p>
      <w:pPr>
        <w:spacing w:after="60" w:before="20"/>
      </w:pPr>
      <w:r>
        <w:rPr>
          <w:b/>
          <w:color w:val="1F497D"/>
        </w:rPr>
        <w:t xml:space="preserve">6.  </w:t>
      </w:r>
      <w:r>
        <w:rPr>
          <w:sz w:val="20"/>
        </w:rPr>
        <w:t>Hypothesis Testing</w:t>
      </w:r>
    </w:p>
    <w:p>
      <w:pPr>
        <w:spacing w:after="60" w:before="20"/>
      </w:pPr>
      <w:r>
        <w:rPr>
          <w:b/>
          <w:color w:val="1F497D"/>
        </w:rPr>
        <w:t xml:space="preserve">7.  </w:t>
      </w:r>
      <w:r>
        <w:rPr>
          <w:sz w:val="20"/>
        </w:rPr>
        <w:t>Data Preprocessing</w:t>
      </w:r>
    </w:p>
    <w:p>
      <w:pPr>
        <w:spacing w:after="60" w:before="20"/>
      </w:pPr>
      <w:r>
        <w:rPr>
          <w:b/>
          <w:color w:val="1F497D"/>
        </w:rPr>
        <w:t xml:space="preserve">8.  </w:t>
      </w:r>
      <w:r>
        <w:rPr>
          <w:sz w:val="20"/>
        </w:rPr>
        <w:t>Feature Selection &amp; Statistical Significance</w:t>
      </w:r>
    </w:p>
    <w:p>
      <w:pPr>
        <w:spacing w:after="60" w:before="20"/>
      </w:pPr>
      <w:r>
        <w:rPr>
          <w:b/>
          <w:color w:val="1F497D"/>
        </w:rPr>
        <w:t xml:space="preserve">9.  </w:t>
      </w:r>
      <w:r>
        <w:rPr>
          <w:sz w:val="20"/>
        </w:rPr>
        <w:t>Machine Learning Models</w:t>
      </w:r>
    </w:p>
    <w:p>
      <w:pPr>
        <w:spacing w:after="60" w:before="20"/>
      </w:pPr>
      <w:r>
        <w:rPr>
          <w:b/>
          <w:color w:val="1F497D"/>
        </w:rPr>
        <w:t xml:space="preserve">10.  </w:t>
      </w:r>
      <w:r>
        <w:rPr>
          <w:sz w:val="20"/>
        </w:rPr>
        <w:t>Model Comparison</w:t>
      </w:r>
    </w:p>
    <w:p>
      <w:pPr>
        <w:spacing w:after="60" w:before="20"/>
      </w:pPr>
      <w:r>
        <w:rPr>
          <w:b/>
          <w:color w:val="1F497D"/>
        </w:rPr>
        <w:t xml:space="preserve">11.  </w:t>
      </w:r>
      <w:r>
        <w:rPr>
          <w:sz w:val="20"/>
        </w:rPr>
        <w:t>Threshold Optimisation</w:t>
      </w:r>
    </w:p>
    <w:p>
      <w:pPr>
        <w:spacing w:after="60" w:before="20"/>
      </w:pPr>
      <w:r>
        <w:rPr>
          <w:b/>
          <w:color w:val="1F497D"/>
        </w:rPr>
        <w:t xml:space="preserve">12.  </w:t>
      </w:r>
      <w:r>
        <w:rPr>
          <w:sz w:val="20"/>
        </w:rPr>
        <w:t>Final Model Performance</w:t>
      </w:r>
    </w:p>
    <w:p>
      <w:pPr>
        <w:spacing w:after="60" w:before="20"/>
      </w:pPr>
      <w:r>
        <w:rPr>
          <w:b/>
          <w:color w:val="1F497D"/>
        </w:rPr>
        <w:t xml:space="preserve">13.  </w:t>
      </w:r>
      <w:r>
        <w:rPr>
          <w:sz w:val="20"/>
        </w:rPr>
        <w:t>Business Impact</w:t>
      </w:r>
    </w:p>
    <w:p>
      <w:pPr>
        <w:spacing w:after="60" w:before="20"/>
      </w:pPr>
      <w:r>
        <w:rPr>
          <w:b/>
          <w:color w:val="1F497D"/>
        </w:rPr>
        <w:t xml:space="preserve">14.  </w:t>
      </w:r>
      <w:r>
        <w:rPr>
          <w:sz w:val="20"/>
        </w:rPr>
        <w:t>Conclusions &amp; Recommendations</w:t>
      </w:r>
    </w:p>
    <w:p>
      <w:pPr>
        <w:spacing w:after="60" w:before="20"/>
      </w:pPr>
      <w:r>
        <w:rPr>
          <w:b/>
          <w:color w:val="1F497D"/>
        </w:rPr>
        <w:t xml:space="preserve">15.  </w:t>
      </w:r>
      <w:r>
        <w:rPr>
          <w:sz w:val="20"/>
        </w:rPr>
        <w:t>Limitations &amp; Future Work</w:t>
      </w:r>
    </w:p>
    <w:p>
      <w:pPr>
        <w:spacing w:after="60" w:before="20"/>
      </w:pPr>
      <w:r>
        <w:rPr>
          <w:b/>
          <w:color w:val="1F497D"/>
        </w:rPr>
        <w:t xml:space="preserve">16.  </w:t>
      </w:r>
      <w:r>
        <w:rPr>
          <w:sz w:val="20"/>
        </w:rPr>
        <w:t>Glossary of Key Terms</w:t>
      </w:r>
    </w:p>
    <w:p>
      <w:pPr>
        <w:spacing w:after="60" w:before="20"/>
      </w:pPr>
      <w:r>
        <w:rPr>
          <w:b/>
          <w:color w:val="1F497D"/>
        </w:rPr>
        <w:t xml:space="preserve">17.  </w:t>
      </w:r>
      <w:r>
        <w:rPr>
          <w:sz w:val="20"/>
        </w:rPr>
        <w:t>Project Notebook Structure</w:t>
      </w:r>
    </w:p>
    <w:p>
      <w:pPr>
        <w:spacing w:after="60" w:before="20"/>
      </w:pPr>
      <w:r>
        <w:rPr>
          <w:b/>
          <w:color w:val="1F497D"/>
        </w:rPr>
        <w:t xml:space="preserve">18.  </w:t>
      </w:r>
      <w:r>
        <w:rPr>
          <w:sz w:val="20"/>
        </w:rPr>
        <w:t>SHAP Explainability — Why Did the Model Decide That?</w:t>
      </w:r>
    </w:p>
    <w:p>
      <w:pPr>
        <w:spacing w:after="60" w:before="20"/>
      </w:pPr>
      <w:r>
        <w:rPr>
          <w:b/>
          <w:color w:val="1F497D"/>
        </w:rPr>
        <w:t xml:space="preserve">19.  </w:t>
      </w:r>
      <w:r>
        <w:rPr>
          <w:sz w:val="20"/>
        </w:rPr>
        <w:t>SQL Analysis — Business Questions Answered with SQL</w:t>
      </w:r>
    </w:p>
    <w:p>
      <w:r>
        <w:br w:type="page"/>
      </w:r>
    </w:p>
    <w:p>
      <w:pPr>
        <w:pStyle w:val="Heading1"/>
        <w:spacing w:before="240" w:after="120"/>
      </w:pPr>
      <w:r>
        <w:rPr>
          <w:color w:val="0D2B55"/>
        </w:rPr>
        <w:t>1. Executive Summary</w:t>
      </w:r>
    </w:p>
    <w:p>
      <w:pPr>
        <w:spacing w:after="120" w:before="40"/>
      </w:pPr>
      <w:r>
        <w:rPr>
          <w:b w:val="0"/>
          <w:i w:val="0"/>
        </w:rPr>
        <w:t>This project builds a machine learning model to predict whether a loan applicant will default (fail to repay) their loan. Using over 1.35 million historical loans from LendingClub (2007–2018), we trained an XGBoost model that can screen applicants before a loan is approved — significantly reducing the platform's exposure to bad debt.</w:t>
      </w:r>
    </w:p>
    <w:tbl>
      <w:tblPr>
        <w:tblStyle w:val="TableGrid"/>
        <w:tblW w:type="auto" w:w="0"/>
        <w:tblLook w:firstColumn="1" w:firstRow="1" w:lastColumn="0" w:lastRow="0" w:noHBand="0" w:noVBand="1" w:val="04A0"/>
      </w:tblPr>
      <w:tblGrid>
        <w:gridCol w:w="8640"/>
      </w:tblGrid>
      <w:tr>
        <w:tc>
          <w:tcPr>
            <w:tcW w:type="dxa" w:w="8640"/>
            <w:shd w:val="clear" w:color="auto" w:fill="1F497D"/>
          </w:tcPr>
          <w:p>
            <w:pPr>
              <w:spacing w:before="80" w:after="80"/>
            </w:pPr>
            <w:r>
              <w:rPr>
                <w:b/>
                <w:color w:val="FFFFFF"/>
                <w:sz w:val="18"/>
              </w:rPr>
              <w:t xml:space="preserve">HEADLINE RESULT:  </w:t>
            </w:r>
            <w:r>
              <w:rPr>
                <w:color w:val="FFFFFF"/>
                <w:sz w:val="18"/>
              </w:rPr>
              <w:t>The final model reduces the default rate among approved loans from 20.0% to 7.2% — a 64% reduction — while catching 88.8% of all potential defaults.</w:t>
            </w:r>
          </w:p>
        </w:tc>
      </w:tr>
    </w:tbl>
    <w:p>
      <w:pPr>
        <w:spacing w:after="80"/>
      </w:pPr>
    </w:p>
    <w:p>
      <w:pPr>
        <w:spacing w:after="120" w:before="40"/>
      </w:pPr>
      <w:r>
        <w:rPr>
          <w:b w:val="0"/>
          <w:i w:val="0"/>
        </w:rPr>
        <w:t>Key findings at a glance: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6E4F0"/>
          </w:tcPr>
          <w:p>
            <w:r>
              <w:rPr>
                <w:b/>
                <w:sz w:val="18"/>
              </w:rPr>
              <w:t>Total Loans Analysed</w:t>
            </w:r>
          </w:p>
        </w:tc>
        <w:tc>
          <w:tcPr>
            <w:tcW w:type="dxa" w:w="2160"/>
          </w:tcPr>
          <w:p>
            <w:r>
              <w:rPr>
                <w:b/>
                <w:color w:val="C0392B"/>
                <w:sz w:val="18"/>
              </w:rPr>
              <w:t>269,612</w:t>
            </w:r>
          </w:p>
        </w:tc>
        <w:tc>
          <w:tcPr>
            <w:tcW w:type="dxa" w:w="2160"/>
            <w:shd w:val="clear" w:color="auto" w:fill="D6E4F0"/>
          </w:tcPr>
          <w:p>
            <w:r>
              <w:rPr>
                <w:b/>
                <w:sz w:val="18"/>
              </w:rPr>
              <w:t>Model Used</w:t>
            </w:r>
          </w:p>
        </w:tc>
        <w:tc>
          <w:tcPr>
            <w:tcW w:type="dxa" w:w="2160"/>
          </w:tcPr>
          <w:p>
            <w:r>
              <w:rPr>
                <w:b/>
                <w:color w:val="C0392B"/>
                <w:sz w:val="18"/>
              </w:rPr>
              <w:t>XGBoost</w:t>
            </w:r>
          </w:p>
        </w:tc>
      </w:tr>
      <w:tr>
        <w:tc>
          <w:tcPr>
            <w:tcW w:type="dxa" w:w="2160"/>
            <w:shd w:val="clear" w:color="auto" w:fill="D6E4F0"/>
          </w:tcPr>
          <w:p>
            <w:r>
              <w:rPr>
                <w:b/>
                <w:sz w:val="18"/>
              </w:rPr>
              <w:t>ROC-AUC Score</w:t>
            </w:r>
          </w:p>
        </w:tc>
        <w:tc>
          <w:tcPr>
            <w:tcW w:type="dxa" w:w="2160"/>
          </w:tcPr>
          <w:p>
            <w:r>
              <w:rPr>
                <w:b/>
                <w:color w:val="C0392B"/>
                <w:sz w:val="18"/>
              </w:rPr>
              <w:t>0.7170</w:t>
            </w:r>
          </w:p>
        </w:tc>
        <w:tc>
          <w:tcPr>
            <w:tcW w:type="dxa" w:w="2160"/>
            <w:shd w:val="clear" w:color="auto" w:fill="D6E4F0"/>
          </w:tcPr>
          <w:p>
            <w:r>
              <w:rPr>
                <w:b/>
                <w:sz w:val="18"/>
              </w:rPr>
              <w:t>F2 Score</w:t>
            </w:r>
          </w:p>
        </w:tc>
        <w:tc>
          <w:tcPr>
            <w:tcW w:type="dxa" w:w="2160"/>
          </w:tcPr>
          <w:p>
            <w:r>
              <w:rPr>
                <w:b/>
                <w:color w:val="C0392B"/>
                <w:sz w:val="18"/>
              </w:rPr>
              <w:t>0.5960</w:t>
            </w:r>
          </w:p>
        </w:tc>
      </w:tr>
      <w:tr>
        <w:tc>
          <w:tcPr>
            <w:tcW w:type="dxa" w:w="2160"/>
            <w:shd w:val="clear" w:color="auto" w:fill="D6E4F0"/>
          </w:tcPr>
          <w:p>
            <w:r>
              <w:rPr>
                <w:b/>
                <w:sz w:val="18"/>
              </w:rPr>
              <w:t>Defaults Caught</w:t>
            </w:r>
          </w:p>
        </w:tc>
        <w:tc>
          <w:tcPr>
            <w:tcW w:type="dxa" w:w="2160"/>
          </w:tcPr>
          <w:p>
            <w:r>
              <w:rPr>
                <w:b/>
                <w:color w:val="C0392B"/>
                <w:sz w:val="18"/>
              </w:rPr>
              <w:t>47,830  (88.8%)</w:t>
            </w:r>
          </w:p>
        </w:tc>
        <w:tc>
          <w:tcPr>
            <w:tcW w:type="dxa" w:w="2160"/>
            <w:shd w:val="clear" w:color="auto" w:fill="D6E4F0"/>
          </w:tcPr>
          <w:p>
            <w:r>
              <w:rPr>
                <w:b/>
                <w:sz w:val="18"/>
              </w:rPr>
              <w:t>Defaults Missed</w:t>
            </w:r>
          </w:p>
        </w:tc>
        <w:tc>
          <w:tcPr>
            <w:tcW w:type="dxa" w:w="2160"/>
          </w:tcPr>
          <w:p>
            <w:r>
              <w:rPr>
                <w:b/>
                <w:color w:val="C0392B"/>
                <w:sz w:val="18"/>
              </w:rPr>
              <w:t>6,034</w:t>
            </w:r>
          </w:p>
        </w:tc>
      </w:tr>
      <w:tr>
        <w:tc>
          <w:tcPr>
            <w:tcW w:type="dxa" w:w="2160"/>
            <w:shd w:val="clear" w:color="auto" w:fill="D6E4F0"/>
          </w:tcPr>
          <w:p>
            <w:r>
              <w:rPr>
                <w:b/>
                <w:sz w:val="18"/>
              </w:rPr>
              <w:t>Default Rate (No Model)</w:t>
            </w:r>
          </w:p>
        </w:tc>
        <w:tc>
          <w:tcPr>
            <w:tcW w:type="dxa" w:w="2160"/>
          </w:tcPr>
          <w:p>
            <w:r>
              <w:rPr>
                <w:b/>
                <w:color w:val="C0392B"/>
                <w:sz w:val="18"/>
              </w:rPr>
              <w:t>19.98%</w:t>
            </w:r>
          </w:p>
        </w:tc>
        <w:tc>
          <w:tcPr>
            <w:tcW w:type="dxa" w:w="2160"/>
            <w:shd w:val="clear" w:color="auto" w:fill="D6E4F0"/>
          </w:tcPr>
          <w:p>
            <w:r>
              <w:rPr>
                <w:b/>
                <w:sz w:val="18"/>
              </w:rPr>
              <w:t>Default Rate (With Model)</w:t>
            </w:r>
          </w:p>
        </w:tc>
        <w:tc>
          <w:tcPr>
            <w:tcW w:type="dxa" w:w="2160"/>
          </w:tcPr>
          <w:p>
            <w:r>
              <w:rPr>
                <w:b/>
                <w:color w:val="C0392B"/>
                <w:sz w:val="18"/>
              </w:rPr>
              <w:t>7.20%</w:t>
            </w:r>
          </w:p>
        </w:tc>
      </w:tr>
      <w:tr>
        <w:tc>
          <w:tcPr>
            <w:tcW w:type="dxa" w:w="2160"/>
            <w:shd w:val="clear" w:color="auto" w:fill="D6E4F0"/>
          </w:tcPr>
          <w:p>
            <w:r>
              <w:rPr>
                <w:b/>
                <w:sz w:val="18"/>
              </w:rPr>
              <w:t>Default Rate Reduction</w:t>
            </w:r>
          </w:p>
        </w:tc>
        <w:tc>
          <w:tcPr>
            <w:tcW w:type="dxa" w:w="2160"/>
          </w:tcPr>
          <w:p>
            <w:r>
              <w:rPr>
                <w:b/>
                <w:color w:val="C0392B"/>
                <w:sz w:val="18"/>
              </w:rPr>
              <w:t>64%</w:t>
            </w:r>
          </w:p>
        </w:tc>
        <w:tc>
          <w:tcPr>
            <w:tcW w:type="dxa" w:w="2160"/>
            <w:shd w:val="clear" w:color="auto" w:fill="D6E4F0"/>
          </w:tcPr>
          <w:p>
            <w:r>
              <w:rPr>
                <w:b/>
                <w:sz w:val="18"/>
              </w:rPr>
              <w:t>Decision Threshold</w:t>
            </w:r>
          </w:p>
        </w:tc>
        <w:tc>
          <w:tcPr>
            <w:tcW w:type="dxa" w:w="2160"/>
          </w:tcPr>
          <w:p>
            <w:r>
              <w:rPr>
                <w:b/>
                <w:color w:val="C0392B"/>
                <w:sz w:val="18"/>
              </w:rPr>
              <w:t>0.35</w:t>
            </w:r>
          </w:p>
        </w:tc>
      </w:tr>
    </w:tbl>
    <w:p>
      <w:pPr>
        <w:spacing w:after="120"/>
      </w:pPr>
    </w:p>
    <w:p>
      <w:r>
        <w:br w:type="page"/>
      </w:r>
    </w:p>
    <w:p>
      <w:pPr>
        <w:pStyle w:val="Heading1"/>
        <w:spacing w:before="240" w:after="120"/>
      </w:pPr>
      <w:r>
        <w:rPr>
          <w:color w:val="0D2B55"/>
        </w:rPr>
        <w:t>2. Background — What Is This Project About?</w:t>
      </w:r>
    </w:p>
    <w:p>
      <w:pPr>
        <w:pStyle w:val="Heading2"/>
        <w:spacing w:before="240" w:after="120"/>
      </w:pPr>
      <w:r>
        <w:rPr>
          <w:color w:val="1F497D"/>
        </w:rPr>
        <w:t>2.1  What Is LendingClub?</w:t>
      </w:r>
    </w:p>
    <w:p>
      <w:pPr>
        <w:spacing w:after="120" w:before="40"/>
      </w:pPr>
      <w:r>
        <w:rPr>
          <w:b w:val="0"/>
          <w:i w:val="0"/>
        </w:rPr>
        <w:t>LendingClub is an American peer-to-peer (P2P) lending platform. Unlike a traditional bank, LendingClub connects individual borrowers directly with individual investors. A borrower applies for a personal loan; investors then fund that loan and receive monthly repayments with interest. If the borrower stops paying, the investor loses their money.</w:t>
      </w:r>
    </w:p>
    <w:p>
      <w:pPr>
        <w:spacing w:after="120" w:before="40"/>
      </w:pPr>
      <w:r>
        <w:rPr>
          <w:b w:val="0"/>
          <w:i w:val="0"/>
        </w:rPr>
        <w:t>Between 2007 and 2018, LendingClub issued over 2.26 million loans worth hundreds of billions of dollars. This rich dataset makes it one of the most studied sources of real-world credit risk data available to the public.</w:t>
      </w:r>
    </w:p>
    <w:p>
      <w:pPr>
        <w:pStyle w:val="Heading2"/>
        <w:spacing w:before="240" w:after="120"/>
      </w:pPr>
      <w:r>
        <w:rPr>
          <w:color w:val="1F497D"/>
        </w:rPr>
        <w:t>2.2  What Is a Loan Default?</w:t>
      </w:r>
    </w:p>
    <w:p>
      <w:pPr>
        <w:spacing w:after="120" w:before="40"/>
      </w:pPr>
      <w:r>
        <w:rPr>
          <w:b w:val="0"/>
          <w:i w:val="0"/>
        </w:rPr>
        <w:t>A loan default occurs when a borrower stops making their scheduled repayments and the debt is written off as uncollectable. When LendingClub marks a loan as "Charged Off", it means the investor has lost that money. In this dataset, approximately 1 in 5 loans ended in default — a significant financial risk.</w:t>
      </w:r>
    </w:p>
    <w:p>
      <w:pPr>
        <w:pStyle w:val="Heading2"/>
        <w:spacing w:before="240" w:after="120"/>
      </w:pPr>
      <w:r>
        <w:rPr>
          <w:color w:val="1F497D"/>
        </w:rPr>
        <w:t>2.3  Why Use Machine Learning?</w:t>
      </w:r>
    </w:p>
    <w:p>
      <w:pPr>
        <w:spacing w:after="120" w:before="40"/>
      </w:pPr>
      <w:r>
        <w:rPr>
          <w:b w:val="0"/>
          <w:i w:val="0"/>
        </w:rPr>
        <w:t>Traditional credit scoring relies on a few simple rules: credit score above X, income above Y, debt-to-income ratio below Z. Machine learning can consider dozens of factors simultaneously and find non-obvious patterns that humans and simple rules would miss. For example, the combination of a moderate interest rate AND short credit history AND high revolving utilisation might be far riskier than any single factor alone.</w:t>
      </w:r>
    </w:p>
    <w:tbl>
      <w:tblPr>
        <w:tblStyle w:val="TableGrid"/>
        <w:tblW w:type="auto" w:w="0"/>
        <w:tblLook w:firstColumn="1" w:firstRow="1" w:lastColumn="0" w:lastRow="0" w:noHBand="0" w:noVBand="1" w:val="04A0"/>
      </w:tblPr>
      <w:tblGrid>
        <w:gridCol w:w="8640"/>
      </w:tblGrid>
      <w:tr>
        <w:tc>
          <w:tcPr>
            <w:tcW w:type="dxa" w:w="8640"/>
            <w:shd w:val="clear" w:color="auto" w:fill="2C3E50"/>
          </w:tcPr>
          <w:p>
            <w:pPr>
              <w:spacing w:before="80" w:after="80"/>
            </w:pPr>
            <w:r>
              <w:rPr>
                <w:b/>
                <w:color w:val="FFFFFF"/>
                <w:sz w:val="18"/>
              </w:rPr>
              <w:t xml:space="preserve">IMPORTANT NOTE:  </w:t>
            </w:r>
            <w:r>
              <w:rPr>
                <w:color w:val="FFFFFF"/>
                <w:sz w:val="18"/>
              </w:rPr>
              <w:t>Machine learning does not replace human judgement — it augments it. The model assigns a risk score to each applicant; a human or policy rule then decides what to do with that score.</w:t>
            </w:r>
          </w:p>
        </w:tc>
      </w:tr>
    </w:tbl>
    <w:p>
      <w:pPr>
        <w:spacing w:after="80"/>
      </w:pPr>
    </w:p>
    <w:p>
      <w:r>
        <w:br w:type="page"/>
      </w:r>
    </w:p>
    <w:p>
      <w:pPr>
        <w:pStyle w:val="Heading1"/>
        <w:spacing w:before="240" w:after="120"/>
      </w:pPr>
      <w:r>
        <w:rPr>
          <w:color w:val="0D2B55"/>
        </w:rPr>
        <w:t>3. The Dataset</w:t>
      </w:r>
    </w:p>
    <w:p>
      <w:pPr>
        <w:pStyle w:val="Heading2"/>
        <w:spacing w:before="240" w:after="120"/>
      </w:pPr>
      <w:r>
        <w:rPr>
          <w:color w:val="1F497D"/>
        </w:rPr>
        <w:t>3.1  Source &amp; Scope</w:t>
      </w:r>
    </w:p>
    <w:p>
      <w:pPr>
        <w:spacing w:after="120" w:before="40"/>
      </w:pPr>
      <w:r>
        <w:rPr>
          <w:b w:val="0"/>
          <w:i w:val="0"/>
        </w:rPr>
        <w:t>The dataset used in this project is the publicly available LendingClub loan data covering all loans issued from January 2007 to Q4 2018. It was downloaded from Kaggle and contains the full history of every accepted loan application.</w:t>
      </w:r>
    </w:p>
    <w:tbl>
      <w:tblPr>
        <w:tblStyle w:val="TableGrid"/>
        <w:tblW w:type="auto" w:w="0"/>
        <w:jc w:val="center"/>
        <w:tblLook w:firstColumn="1" w:firstRow="1" w:lastColumn="0" w:lastRow="0" w:noHBand="0" w:noVBand="1" w:val="04A0"/>
      </w:tblPr>
      <w:tblGrid>
        <w:gridCol w:w="4320"/>
        <w:gridCol w:w="4320"/>
      </w:tblGrid>
      <w:tr>
        <w:tc>
          <w:tcPr>
            <w:tcW w:type="dxa" w:w="3600"/>
            <w:shd w:val="clear" w:color="auto" w:fill="1F497D"/>
            <w:vAlign w:val="center"/>
          </w:tcPr>
          <w:p>
            <w:pPr>
              <w:jc w:val="center"/>
            </w:pPr>
            <w:r>
              <w:rPr>
                <w:b/>
                <w:color w:val="FFFFFF"/>
                <w:sz w:val="18"/>
              </w:rPr>
              <w:t>Property</w:t>
            </w:r>
          </w:p>
        </w:tc>
        <w:tc>
          <w:tcPr>
            <w:tcW w:type="dxa" w:w="5760"/>
            <w:shd w:val="clear" w:color="auto" w:fill="1F497D"/>
            <w:vAlign w:val="center"/>
          </w:tcPr>
          <w:p>
            <w:pPr>
              <w:jc w:val="center"/>
            </w:pPr>
            <w:r>
              <w:rPr>
                <w:b/>
                <w:color w:val="FFFFFF"/>
                <w:sz w:val="18"/>
              </w:rPr>
              <w:t>Value</w:t>
            </w:r>
          </w:p>
        </w:tc>
      </w:tr>
      <w:tr>
        <w:tc>
          <w:tcPr>
            <w:tcW w:type="dxa" w:w="3600"/>
          </w:tcPr>
          <w:p/>
        </w:tc>
        <w:tc>
          <w:tcPr>
            <w:tcW w:type="dxa" w:w="5760"/>
          </w:tcPr>
          <w:p/>
        </w:tc>
      </w:tr>
      <w:tr>
        <w:tc>
          <w:tcPr>
            <w:tcW w:type="dxa" w:w="3600"/>
          </w:tcPr>
          <w:p/>
        </w:tc>
        <w:tc>
          <w:tcPr>
            <w:tcW w:type="dxa" w:w="5760"/>
          </w:tcPr>
          <w:p/>
        </w:tc>
      </w:tr>
      <w:tr>
        <w:tc>
          <w:tcPr>
            <w:tcW w:type="dxa" w:w="3600"/>
          </w:tcPr>
          <w:p/>
        </w:tc>
        <w:tc>
          <w:tcPr>
            <w:tcW w:type="dxa" w:w="5760"/>
          </w:tcPr>
          <w:p/>
        </w:tc>
      </w:tr>
      <w:tr>
        <w:tc>
          <w:tcPr>
            <w:tcW w:type="dxa" w:w="3600"/>
          </w:tcPr>
          <w:p/>
        </w:tc>
        <w:tc>
          <w:tcPr>
            <w:tcW w:type="dxa" w:w="5760"/>
          </w:tcPr>
          <w:p/>
        </w:tc>
      </w:tr>
      <w:tr>
        <w:tc>
          <w:tcPr>
            <w:tcW w:type="dxa" w:w="3600"/>
          </w:tcPr>
          <w:p/>
        </w:tc>
        <w:tc>
          <w:tcPr>
            <w:tcW w:type="dxa" w:w="5760"/>
          </w:tcPr>
          <w:p/>
        </w:tc>
      </w:tr>
      <w:tr>
        <w:tc>
          <w:tcPr>
            <w:tcW w:type="dxa" w:w="3600"/>
          </w:tcPr>
          <w:p/>
        </w:tc>
        <w:tc>
          <w:tcPr>
            <w:tcW w:type="dxa" w:w="5760"/>
          </w:tcPr>
          <w:p/>
        </w:tc>
      </w:tr>
      <w:tr>
        <w:tc>
          <w:tcPr>
            <w:tcW w:type="dxa" w:w="3600"/>
            <w:vAlign w:val="center"/>
          </w:tcPr>
          <w:p>
            <w:pPr>
              <w:jc w:val="center"/>
            </w:pPr>
            <w:r>
              <w:rPr>
                <w:sz w:val="18"/>
              </w:rPr>
              <w:t>File</w:t>
            </w:r>
          </w:p>
        </w:tc>
        <w:tc>
          <w:tcPr>
            <w:tcW w:type="dxa" w:w="5760"/>
            <w:vAlign w:val="center"/>
          </w:tcPr>
          <w:p>
            <w:pPr>
              <w:jc w:val="center"/>
            </w:pPr>
            <w:r>
              <w:rPr>
                <w:sz w:val="18"/>
              </w:rPr>
              <w:t>accepted_2007_to_2018Q4.csv</w:t>
            </w:r>
          </w:p>
        </w:tc>
      </w:tr>
      <w:tr>
        <w:tc>
          <w:tcPr>
            <w:tcW w:type="dxa" w:w="3600"/>
            <w:shd w:val="clear" w:color="auto" w:fill="EBF2FA"/>
            <w:vAlign w:val="center"/>
          </w:tcPr>
          <w:p>
            <w:pPr>
              <w:jc w:val="center"/>
            </w:pPr>
            <w:r>
              <w:rPr>
                <w:sz w:val="18"/>
              </w:rPr>
              <w:t>Total rows (raw)</w:t>
            </w:r>
          </w:p>
        </w:tc>
        <w:tc>
          <w:tcPr>
            <w:tcW w:type="dxa" w:w="5760"/>
            <w:shd w:val="clear" w:color="auto" w:fill="EBF2FA"/>
            <w:vAlign w:val="center"/>
          </w:tcPr>
          <w:p>
            <w:pPr>
              <w:jc w:val="center"/>
            </w:pPr>
            <w:r>
              <w:rPr>
                <w:sz w:val="18"/>
              </w:rPr>
              <w:t>2,260,701 loans</w:t>
            </w:r>
          </w:p>
        </w:tc>
      </w:tr>
      <w:tr>
        <w:tc>
          <w:tcPr>
            <w:tcW w:type="dxa" w:w="3600"/>
            <w:vAlign w:val="center"/>
          </w:tcPr>
          <w:p>
            <w:pPr>
              <w:jc w:val="center"/>
            </w:pPr>
            <w:r>
              <w:rPr>
                <w:sz w:val="18"/>
              </w:rPr>
              <w:t>Total columns</w:t>
            </w:r>
          </w:p>
        </w:tc>
        <w:tc>
          <w:tcPr>
            <w:tcW w:type="dxa" w:w="5760"/>
            <w:vAlign w:val="center"/>
          </w:tcPr>
          <w:p>
            <w:pPr>
              <w:jc w:val="center"/>
            </w:pPr>
            <w:r>
              <w:rPr>
                <w:sz w:val="18"/>
              </w:rPr>
              <w:t>151 attributes per loan</w:t>
            </w:r>
          </w:p>
        </w:tc>
      </w:tr>
      <w:tr>
        <w:tc>
          <w:tcPr>
            <w:tcW w:type="dxa" w:w="3600"/>
            <w:shd w:val="clear" w:color="auto" w:fill="EBF2FA"/>
            <w:vAlign w:val="center"/>
          </w:tcPr>
          <w:p>
            <w:pPr>
              <w:jc w:val="center"/>
            </w:pPr>
            <w:r>
              <w:rPr>
                <w:sz w:val="18"/>
              </w:rPr>
              <w:t>Time period</w:t>
            </w:r>
          </w:p>
        </w:tc>
        <w:tc>
          <w:tcPr>
            <w:tcW w:type="dxa" w:w="5760"/>
            <w:shd w:val="clear" w:color="auto" w:fill="EBF2FA"/>
            <w:vAlign w:val="center"/>
          </w:tcPr>
          <w:p>
            <w:pPr>
              <w:jc w:val="center"/>
            </w:pPr>
            <w:r>
              <w:rPr>
                <w:sz w:val="18"/>
              </w:rPr>
              <w:t>January 2007 – December 2018</w:t>
            </w:r>
          </w:p>
        </w:tc>
      </w:tr>
      <w:tr>
        <w:tc>
          <w:tcPr>
            <w:tcW w:type="dxa" w:w="3600"/>
            <w:vAlign w:val="center"/>
          </w:tcPr>
          <w:p>
            <w:pPr>
              <w:jc w:val="center"/>
            </w:pPr>
            <w:r>
              <w:rPr>
                <w:sz w:val="18"/>
              </w:rPr>
              <w:t>Rows after filtering</w:t>
            </w:r>
          </w:p>
        </w:tc>
        <w:tc>
          <w:tcPr>
            <w:tcW w:type="dxa" w:w="5760"/>
            <w:vAlign w:val="center"/>
          </w:tcPr>
          <w:p>
            <w:pPr>
              <w:jc w:val="center"/>
            </w:pPr>
            <w:r>
              <w:rPr>
                <w:sz w:val="18"/>
              </w:rPr>
              <w:t>1,348,092 loans</w:t>
            </w:r>
          </w:p>
        </w:tc>
      </w:tr>
      <w:tr>
        <w:tc>
          <w:tcPr>
            <w:tcW w:type="dxa" w:w="3600"/>
            <w:shd w:val="clear" w:color="auto" w:fill="EBF2FA"/>
            <w:vAlign w:val="center"/>
          </w:tcPr>
          <w:p>
            <w:pPr>
              <w:jc w:val="center"/>
            </w:pPr>
            <w:r>
              <w:rPr>
                <w:sz w:val="18"/>
              </w:rPr>
              <w:t>Final features used</w:t>
            </w:r>
          </w:p>
        </w:tc>
        <w:tc>
          <w:tcPr>
            <w:tcW w:type="dxa" w:w="5760"/>
            <w:shd w:val="clear" w:color="auto" w:fill="EBF2FA"/>
            <w:vAlign w:val="center"/>
          </w:tcPr>
          <w:p>
            <w:pPr>
              <w:jc w:val="center"/>
            </w:pPr>
            <w:r>
              <w:rPr>
                <w:sz w:val="18"/>
              </w:rPr>
              <w:t>34 features</w:t>
            </w:r>
          </w:p>
        </w:tc>
      </w:tr>
    </w:tbl>
    <w:p>
      <w:pPr>
        <w:spacing w:after="120"/>
      </w:pPr>
    </w:p>
    <w:p>
      <w:pPr>
        <w:pStyle w:val="Heading2"/>
        <w:spacing w:before="240" w:after="120"/>
      </w:pPr>
      <w:r>
        <w:rPr>
          <w:color w:val="1F497D"/>
        </w:rPr>
        <w:t>3.2  What Does Each Row Represent?</w:t>
      </w:r>
    </w:p>
    <w:p>
      <w:pPr>
        <w:spacing w:after="120" w:before="40"/>
      </w:pPr>
      <w:r>
        <w:rPr>
          <w:b w:val="0"/>
          <w:i w:val="0"/>
        </w:rPr>
        <w:t>Each row in the dataset represents one individual loan application. It contains information known at the time of application (income, employment, credit history) as well as the outcome of the loan (did the borrower repay fully or default?).</w:t>
      </w:r>
    </w:p>
    <w:p>
      <w:pPr>
        <w:pStyle w:val="Heading2"/>
        <w:spacing w:before="240" w:after="120"/>
      </w:pPr>
      <w:r>
        <w:rPr>
          <w:color w:val="1F497D"/>
        </w:rPr>
        <w:t>3.3  The Target Variable: Loan Status</w:t>
      </w:r>
    </w:p>
    <w:p>
      <w:pPr>
        <w:spacing w:after="120" w:before="40"/>
      </w:pPr>
      <w:r>
        <w:rPr>
          <w:b w:val="0"/>
          <w:i w:val="0"/>
        </w:rPr>
        <w:t>The column "loan_status" tells us what happened to each loan. We mapped it to a binary (0/1) variable called "target": 1 means the loan defaulted, 0 means it was fully repaid. Loans with ambiguous statuses (still active, in grace period, etc.) were removed because we cannot know their final outcome.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312"/>
            <w:shd w:val="clear" w:color="auto" w:fill="1F497D"/>
            <w:vAlign w:val="center"/>
          </w:tcPr>
          <w:p>
            <w:pPr>
              <w:jc w:val="center"/>
            </w:pPr>
            <w:r>
              <w:rPr>
                <w:b/>
                <w:color w:val="FFFFFF"/>
                <w:sz w:val="18"/>
              </w:rPr>
              <w:t>loan_status Value</w:t>
            </w:r>
          </w:p>
        </w:tc>
        <w:tc>
          <w:tcPr>
            <w:tcW w:type="dxa" w:w="2160"/>
            <w:shd w:val="clear" w:color="auto" w:fill="1F497D"/>
            <w:vAlign w:val="center"/>
          </w:tcPr>
          <w:p>
            <w:pPr>
              <w:jc w:val="center"/>
            </w:pPr>
            <w:r>
              <w:rPr>
                <w:b/>
                <w:color w:val="FFFFFF"/>
                <w:sz w:val="18"/>
              </w:rPr>
              <w:t>Mapped To</w:t>
            </w:r>
          </w:p>
        </w:tc>
        <w:tc>
          <w:tcPr>
            <w:tcW w:type="dxa" w:w="1440"/>
            <w:shd w:val="clear" w:color="auto" w:fill="1F497D"/>
            <w:vAlign w:val="center"/>
          </w:tcPr>
          <w:p>
            <w:pPr>
              <w:jc w:val="center"/>
            </w:pPr>
            <w:r>
              <w:rPr>
                <w:b/>
                <w:color w:val="FFFFFF"/>
                <w:sz w:val="18"/>
              </w:rPr>
              <w:t>Count</w:t>
            </w:r>
          </w:p>
        </w:tc>
        <w:tc>
          <w:tcPr>
            <w:tcW w:type="dxa" w:w="1296"/>
            <w:shd w:val="clear" w:color="auto" w:fill="1F497D"/>
            <w:vAlign w:val="center"/>
          </w:tcPr>
          <w:p>
            <w:pPr>
              <w:jc w:val="center"/>
            </w:pPr>
            <w:r>
              <w:rPr>
                <w:b/>
                <w:color w:val="FFFFFF"/>
                <w:sz w:val="18"/>
              </w:rPr>
              <w:t>Percentage</w:t>
            </w:r>
          </w:p>
        </w:tc>
        <w:tc>
          <w:tcPr>
            <w:tcW w:type="dxa" w:w="2592"/>
            <w:shd w:val="clear" w:color="auto" w:fill="1F497D"/>
            <w:vAlign w:val="center"/>
          </w:tcPr>
          <w:p>
            <w:pPr>
              <w:jc w:val="center"/>
            </w:pPr>
            <w:r>
              <w:rPr>
                <w:b/>
                <w:color w:val="FFFFFF"/>
                <w:sz w:val="18"/>
              </w:rPr>
              <w:t>Reason</w:t>
            </w:r>
          </w:p>
        </w:tc>
      </w:tr>
      <w:tr>
        <w:tc>
          <w:tcPr>
            <w:tcW w:type="dxa" w:w="3312"/>
          </w:tcPr>
          <w:p/>
        </w:tc>
        <w:tc>
          <w:tcPr>
            <w:tcW w:type="dxa" w:w="2160"/>
          </w:tcPr>
          <w:p/>
        </w:tc>
        <w:tc>
          <w:tcPr>
            <w:tcW w:type="dxa" w:w="1440"/>
          </w:tcPr>
          <w:p/>
        </w:tc>
        <w:tc>
          <w:tcPr>
            <w:tcW w:type="dxa" w:w="1296"/>
          </w:tcPr>
          <w:p/>
        </w:tc>
        <w:tc>
          <w:tcPr>
            <w:tcW w:type="dxa" w:w="2592"/>
          </w:tcPr>
          <w:p/>
        </w:tc>
      </w:tr>
      <w:tr>
        <w:tc>
          <w:tcPr>
            <w:tcW w:type="dxa" w:w="3312"/>
          </w:tcPr>
          <w:p/>
        </w:tc>
        <w:tc>
          <w:tcPr>
            <w:tcW w:type="dxa" w:w="2160"/>
          </w:tcPr>
          <w:p/>
        </w:tc>
        <w:tc>
          <w:tcPr>
            <w:tcW w:type="dxa" w:w="1440"/>
          </w:tcPr>
          <w:p/>
        </w:tc>
        <w:tc>
          <w:tcPr>
            <w:tcW w:type="dxa" w:w="1296"/>
          </w:tcPr>
          <w:p/>
        </w:tc>
        <w:tc>
          <w:tcPr>
            <w:tcW w:type="dxa" w:w="2592"/>
          </w:tcPr>
          <w:p/>
        </w:tc>
      </w:tr>
      <w:tr>
        <w:tc>
          <w:tcPr>
            <w:tcW w:type="dxa" w:w="3312"/>
          </w:tcPr>
          <w:p/>
        </w:tc>
        <w:tc>
          <w:tcPr>
            <w:tcW w:type="dxa" w:w="2160"/>
          </w:tcPr>
          <w:p/>
        </w:tc>
        <w:tc>
          <w:tcPr>
            <w:tcW w:type="dxa" w:w="1440"/>
          </w:tcPr>
          <w:p/>
        </w:tc>
        <w:tc>
          <w:tcPr>
            <w:tcW w:type="dxa" w:w="1296"/>
          </w:tcPr>
          <w:p/>
        </w:tc>
        <w:tc>
          <w:tcPr>
            <w:tcW w:type="dxa" w:w="2592"/>
          </w:tcPr>
          <w:p/>
        </w:tc>
      </w:tr>
      <w:tr>
        <w:tc>
          <w:tcPr>
            <w:tcW w:type="dxa" w:w="3312"/>
          </w:tcPr>
          <w:p/>
        </w:tc>
        <w:tc>
          <w:tcPr>
            <w:tcW w:type="dxa" w:w="2160"/>
          </w:tcPr>
          <w:p/>
        </w:tc>
        <w:tc>
          <w:tcPr>
            <w:tcW w:type="dxa" w:w="1440"/>
          </w:tcPr>
          <w:p/>
        </w:tc>
        <w:tc>
          <w:tcPr>
            <w:tcW w:type="dxa" w:w="1296"/>
          </w:tcPr>
          <w:p/>
        </w:tc>
        <w:tc>
          <w:tcPr>
            <w:tcW w:type="dxa" w:w="2592"/>
          </w:tcPr>
          <w:p/>
        </w:tc>
      </w:tr>
      <w:tr>
        <w:tc>
          <w:tcPr>
            <w:tcW w:type="dxa" w:w="3312"/>
          </w:tcPr>
          <w:p/>
        </w:tc>
        <w:tc>
          <w:tcPr>
            <w:tcW w:type="dxa" w:w="2160"/>
          </w:tcPr>
          <w:p/>
        </w:tc>
        <w:tc>
          <w:tcPr>
            <w:tcW w:type="dxa" w:w="1440"/>
          </w:tcPr>
          <w:p/>
        </w:tc>
        <w:tc>
          <w:tcPr>
            <w:tcW w:type="dxa" w:w="1296"/>
          </w:tcPr>
          <w:p/>
        </w:tc>
        <w:tc>
          <w:tcPr>
            <w:tcW w:type="dxa" w:w="2592"/>
          </w:tcPr>
          <w:p/>
        </w:tc>
      </w:tr>
      <w:tr>
        <w:tc>
          <w:tcPr>
            <w:tcW w:type="dxa" w:w="3312"/>
          </w:tcPr>
          <w:p/>
        </w:tc>
        <w:tc>
          <w:tcPr>
            <w:tcW w:type="dxa" w:w="2160"/>
          </w:tcPr>
          <w:p/>
        </w:tc>
        <w:tc>
          <w:tcPr>
            <w:tcW w:type="dxa" w:w="1440"/>
          </w:tcPr>
          <w:p/>
        </w:tc>
        <w:tc>
          <w:tcPr>
            <w:tcW w:type="dxa" w:w="1296"/>
          </w:tcPr>
          <w:p/>
        </w:tc>
        <w:tc>
          <w:tcPr>
            <w:tcW w:type="dxa" w:w="2592"/>
          </w:tcPr>
          <w:p/>
        </w:tc>
      </w:tr>
      <w:tr>
        <w:tc>
          <w:tcPr>
            <w:tcW w:type="dxa" w:w="3312"/>
          </w:tcPr>
          <w:p/>
        </w:tc>
        <w:tc>
          <w:tcPr>
            <w:tcW w:type="dxa" w:w="2160"/>
          </w:tcPr>
          <w:p/>
        </w:tc>
        <w:tc>
          <w:tcPr>
            <w:tcW w:type="dxa" w:w="1440"/>
          </w:tcPr>
          <w:p/>
        </w:tc>
        <w:tc>
          <w:tcPr>
            <w:tcW w:type="dxa" w:w="1296"/>
          </w:tcPr>
          <w:p/>
        </w:tc>
        <w:tc>
          <w:tcPr>
            <w:tcW w:type="dxa" w:w="2592"/>
          </w:tcPr>
          <w:p/>
        </w:tc>
      </w:tr>
      <w:tr>
        <w:tc>
          <w:tcPr>
            <w:tcW w:type="dxa" w:w="3312"/>
          </w:tcPr>
          <w:p/>
        </w:tc>
        <w:tc>
          <w:tcPr>
            <w:tcW w:type="dxa" w:w="2160"/>
          </w:tcPr>
          <w:p/>
        </w:tc>
        <w:tc>
          <w:tcPr>
            <w:tcW w:type="dxa" w:w="1440"/>
          </w:tcPr>
          <w:p/>
        </w:tc>
        <w:tc>
          <w:tcPr>
            <w:tcW w:type="dxa" w:w="1296"/>
          </w:tcPr>
          <w:p/>
        </w:tc>
        <w:tc>
          <w:tcPr>
            <w:tcW w:type="dxa" w:w="2592"/>
          </w:tcPr>
          <w:p/>
        </w:tc>
      </w:tr>
      <w:tr>
        <w:tc>
          <w:tcPr>
            <w:tcW w:type="dxa" w:w="3312"/>
          </w:tcPr>
          <w:p/>
        </w:tc>
        <w:tc>
          <w:tcPr>
            <w:tcW w:type="dxa" w:w="2160"/>
          </w:tcPr>
          <w:p/>
        </w:tc>
        <w:tc>
          <w:tcPr>
            <w:tcW w:type="dxa" w:w="1440"/>
          </w:tcPr>
          <w:p/>
        </w:tc>
        <w:tc>
          <w:tcPr>
            <w:tcW w:type="dxa" w:w="1296"/>
          </w:tcPr>
          <w:p/>
        </w:tc>
        <w:tc>
          <w:tcPr>
            <w:tcW w:type="dxa" w:w="2592"/>
          </w:tcPr>
          <w:p/>
        </w:tc>
      </w:tr>
      <w:tr>
        <w:tc>
          <w:tcPr>
            <w:tcW w:type="dxa" w:w="3312"/>
            <w:vAlign w:val="center"/>
          </w:tcPr>
          <w:p>
            <w:pPr>
              <w:jc w:val="center"/>
            </w:pPr>
            <w:r>
              <w:rPr>
                <w:sz w:val="18"/>
              </w:rPr>
              <w:t>Fully Paid</w:t>
            </w:r>
          </w:p>
        </w:tc>
        <w:tc>
          <w:tcPr>
            <w:tcW w:type="dxa" w:w="2160"/>
            <w:vAlign w:val="center"/>
          </w:tcPr>
          <w:p>
            <w:pPr>
              <w:jc w:val="center"/>
            </w:pPr>
            <w:r>
              <w:rPr>
                <w:sz w:val="18"/>
              </w:rPr>
              <w:t>0 — Good Loan</w:t>
            </w:r>
          </w:p>
        </w:tc>
        <w:tc>
          <w:tcPr>
            <w:tcW w:type="dxa" w:w="1440"/>
            <w:vAlign w:val="center"/>
          </w:tcPr>
          <w:p>
            <w:pPr>
              <w:jc w:val="center"/>
            </w:pPr>
            <w:r>
              <w:rPr>
                <w:sz w:val="18"/>
              </w:rPr>
              <w:t>1,076,751</w:t>
            </w:r>
          </w:p>
        </w:tc>
        <w:tc>
          <w:tcPr>
            <w:tcW w:type="dxa" w:w="1296"/>
            <w:vAlign w:val="center"/>
          </w:tcPr>
          <w:p>
            <w:pPr>
              <w:jc w:val="center"/>
            </w:pPr>
            <w:r>
              <w:rPr>
                <w:sz w:val="18"/>
              </w:rPr>
              <w:t>47.6%</w:t>
            </w:r>
          </w:p>
        </w:tc>
        <w:tc>
          <w:tcPr>
            <w:tcW w:type="dxa" w:w="2592"/>
            <w:vAlign w:val="center"/>
          </w:tcPr>
          <w:p>
            <w:pPr>
              <w:jc w:val="center"/>
            </w:pPr>
            <w:r>
              <w:rPr>
                <w:sz w:val="18"/>
              </w:rPr>
              <w:t>Borrower repaid in full</w:t>
            </w:r>
          </w:p>
        </w:tc>
      </w:tr>
      <w:tr>
        <w:tc>
          <w:tcPr>
            <w:tcW w:type="dxa" w:w="3312"/>
            <w:shd w:val="clear" w:color="auto" w:fill="EBF2FA"/>
            <w:vAlign w:val="center"/>
          </w:tcPr>
          <w:p>
            <w:pPr>
              <w:jc w:val="center"/>
            </w:pPr>
            <w:r>
              <w:rPr>
                <w:sz w:val="18"/>
              </w:rPr>
              <w:t>Charged Off</w:t>
            </w:r>
          </w:p>
        </w:tc>
        <w:tc>
          <w:tcPr>
            <w:tcW w:type="dxa" w:w="2160"/>
            <w:shd w:val="clear" w:color="auto" w:fill="EBF2FA"/>
            <w:vAlign w:val="center"/>
          </w:tcPr>
          <w:p>
            <w:pPr>
              <w:jc w:val="center"/>
            </w:pPr>
            <w:r>
              <w:rPr>
                <w:sz w:val="18"/>
              </w:rPr>
              <w:t>1 — Default</w:t>
            </w:r>
          </w:p>
        </w:tc>
        <w:tc>
          <w:tcPr>
            <w:tcW w:type="dxa" w:w="1440"/>
            <w:shd w:val="clear" w:color="auto" w:fill="EBF2FA"/>
            <w:vAlign w:val="center"/>
          </w:tcPr>
          <w:p>
            <w:pPr>
              <w:jc w:val="center"/>
            </w:pPr>
            <w:r>
              <w:rPr>
                <w:sz w:val="18"/>
              </w:rPr>
              <w:t>268,559</w:t>
            </w:r>
          </w:p>
        </w:tc>
        <w:tc>
          <w:tcPr>
            <w:tcW w:type="dxa" w:w="1296"/>
            <w:shd w:val="clear" w:color="auto" w:fill="EBF2FA"/>
            <w:vAlign w:val="center"/>
          </w:tcPr>
          <w:p>
            <w:pPr>
              <w:jc w:val="center"/>
            </w:pPr>
            <w:r>
              <w:rPr>
                <w:sz w:val="18"/>
              </w:rPr>
              <w:t>11.9%</w:t>
            </w:r>
          </w:p>
        </w:tc>
        <w:tc>
          <w:tcPr>
            <w:tcW w:type="dxa" w:w="2592"/>
            <w:shd w:val="clear" w:color="auto" w:fill="EBF2FA"/>
            <w:vAlign w:val="center"/>
          </w:tcPr>
          <w:p>
            <w:pPr>
              <w:jc w:val="center"/>
            </w:pPr>
            <w:r>
              <w:rPr>
                <w:sz w:val="18"/>
              </w:rPr>
              <w:t>Written off as bad debt</w:t>
            </w:r>
          </w:p>
        </w:tc>
      </w:tr>
      <w:tr>
        <w:tc>
          <w:tcPr>
            <w:tcW w:type="dxa" w:w="3312"/>
            <w:vAlign w:val="center"/>
          </w:tcPr>
          <w:p>
            <w:pPr>
              <w:jc w:val="center"/>
            </w:pPr>
            <w:r>
              <w:rPr>
                <w:sz w:val="18"/>
              </w:rPr>
              <w:t>Default</w:t>
            </w:r>
          </w:p>
        </w:tc>
        <w:tc>
          <w:tcPr>
            <w:tcW w:type="dxa" w:w="2160"/>
            <w:vAlign w:val="center"/>
          </w:tcPr>
          <w:p>
            <w:pPr>
              <w:jc w:val="center"/>
            </w:pPr>
            <w:r>
              <w:rPr>
                <w:sz w:val="18"/>
              </w:rPr>
              <w:t>1 — Default</w:t>
            </w:r>
          </w:p>
        </w:tc>
        <w:tc>
          <w:tcPr>
            <w:tcW w:type="dxa" w:w="1440"/>
            <w:vAlign w:val="center"/>
          </w:tcPr>
          <w:p>
            <w:pPr>
              <w:jc w:val="center"/>
            </w:pPr>
            <w:r>
              <w:rPr>
                <w:sz w:val="18"/>
              </w:rPr>
              <w:t>40</w:t>
            </w:r>
          </w:p>
        </w:tc>
        <w:tc>
          <w:tcPr>
            <w:tcW w:type="dxa" w:w="1296"/>
            <w:vAlign w:val="center"/>
          </w:tcPr>
          <w:p>
            <w:pPr>
              <w:jc w:val="center"/>
            </w:pPr>
            <w:r>
              <w:rPr>
                <w:sz w:val="18"/>
              </w:rPr>
              <w:t>0.0%</w:t>
            </w:r>
          </w:p>
        </w:tc>
        <w:tc>
          <w:tcPr>
            <w:tcW w:type="dxa" w:w="2592"/>
            <w:vAlign w:val="center"/>
          </w:tcPr>
          <w:p>
            <w:pPr>
              <w:jc w:val="center"/>
            </w:pPr>
            <w:r>
              <w:rPr>
                <w:sz w:val="18"/>
              </w:rPr>
              <w:t>Formal default status</w:t>
            </w:r>
          </w:p>
        </w:tc>
      </w:tr>
      <w:tr>
        <w:tc>
          <w:tcPr>
            <w:tcW w:type="dxa" w:w="3312"/>
            <w:shd w:val="clear" w:color="auto" w:fill="EBF2FA"/>
            <w:vAlign w:val="center"/>
          </w:tcPr>
          <w:p>
            <w:pPr>
              <w:jc w:val="center"/>
            </w:pPr>
            <w:r>
              <w:rPr>
                <w:sz w:val="18"/>
              </w:rPr>
              <w:t>Does not meet credit policy — Charged Off</w:t>
            </w:r>
          </w:p>
        </w:tc>
        <w:tc>
          <w:tcPr>
            <w:tcW w:type="dxa" w:w="2160"/>
            <w:shd w:val="clear" w:color="auto" w:fill="EBF2FA"/>
            <w:vAlign w:val="center"/>
          </w:tcPr>
          <w:p>
            <w:pPr>
              <w:jc w:val="center"/>
            </w:pPr>
            <w:r>
              <w:rPr>
                <w:sz w:val="18"/>
              </w:rPr>
              <w:t>1 — Default</w:t>
            </w:r>
          </w:p>
        </w:tc>
        <w:tc>
          <w:tcPr>
            <w:tcW w:type="dxa" w:w="1440"/>
            <w:shd w:val="clear" w:color="auto" w:fill="EBF2FA"/>
            <w:vAlign w:val="center"/>
          </w:tcPr>
          <w:p>
            <w:pPr>
              <w:jc w:val="center"/>
            </w:pPr>
            <w:r>
              <w:rPr>
                <w:sz w:val="18"/>
              </w:rPr>
              <w:t>761</w:t>
            </w:r>
          </w:p>
        </w:tc>
        <w:tc>
          <w:tcPr>
            <w:tcW w:type="dxa" w:w="1296"/>
            <w:shd w:val="clear" w:color="auto" w:fill="EBF2FA"/>
            <w:vAlign w:val="center"/>
          </w:tcPr>
          <w:p>
            <w:pPr>
              <w:jc w:val="center"/>
            </w:pPr>
            <w:r>
              <w:rPr>
                <w:sz w:val="18"/>
              </w:rPr>
              <w:t>0.0%</w:t>
            </w:r>
          </w:p>
        </w:tc>
        <w:tc>
          <w:tcPr>
            <w:tcW w:type="dxa" w:w="2592"/>
            <w:shd w:val="clear" w:color="auto" w:fill="EBF2FA"/>
            <w:vAlign w:val="center"/>
          </w:tcPr>
          <w:p>
            <w:pPr>
              <w:jc w:val="center"/>
            </w:pPr>
            <w:r>
              <w:rPr>
                <w:sz w:val="18"/>
              </w:rPr>
              <w:t>Still a default</w:t>
            </w:r>
          </w:p>
        </w:tc>
      </w:tr>
      <w:tr>
        <w:tc>
          <w:tcPr>
            <w:tcW w:type="dxa" w:w="3312"/>
            <w:vAlign w:val="center"/>
          </w:tcPr>
          <w:p>
            <w:pPr>
              <w:jc w:val="center"/>
            </w:pPr>
            <w:r>
              <w:rPr>
                <w:sz w:val="18"/>
              </w:rPr>
              <w:t>Does not meet credit policy — Fully Paid</w:t>
            </w:r>
          </w:p>
        </w:tc>
        <w:tc>
          <w:tcPr>
            <w:tcW w:type="dxa" w:w="2160"/>
            <w:vAlign w:val="center"/>
          </w:tcPr>
          <w:p>
            <w:pPr>
              <w:jc w:val="center"/>
            </w:pPr>
            <w:r>
              <w:rPr>
                <w:sz w:val="18"/>
              </w:rPr>
              <w:t>0 — Good Loan</w:t>
            </w:r>
          </w:p>
        </w:tc>
        <w:tc>
          <w:tcPr>
            <w:tcW w:type="dxa" w:w="1440"/>
            <w:vAlign w:val="center"/>
          </w:tcPr>
          <w:p>
            <w:pPr>
              <w:jc w:val="center"/>
            </w:pPr>
            <w:r>
              <w:rPr>
                <w:sz w:val="18"/>
              </w:rPr>
              <w:t>1,988</w:t>
            </w:r>
          </w:p>
        </w:tc>
        <w:tc>
          <w:tcPr>
            <w:tcW w:type="dxa" w:w="1296"/>
            <w:vAlign w:val="center"/>
          </w:tcPr>
          <w:p>
            <w:pPr>
              <w:jc w:val="center"/>
            </w:pPr>
            <w:r>
              <w:rPr>
                <w:sz w:val="18"/>
              </w:rPr>
              <w:t>0.1%</w:t>
            </w:r>
          </w:p>
        </w:tc>
        <w:tc>
          <w:tcPr>
            <w:tcW w:type="dxa" w:w="2592"/>
            <w:vAlign w:val="center"/>
          </w:tcPr>
          <w:p>
            <w:pPr>
              <w:jc w:val="center"/>
            </w:pPr>
            <w:r>
              <w:rPr>
                <w:sz w:val="18"/>
              </w:rPr>
              <w:t>Still repaid</w:t>
            </w:r>
          </w:p>
        </w:tc>
      </w:tr>
      <w:tr>
        <w:tc>
          <w:tcPr>
            <w:tcW w:type="dxa" w:w="3312"/>
            <w:shd w:val="clear" w:color="auto" w:fill="EBF2FA"/>
            <w:vAlign w:val="center"/>
          </w:tcPr>
          <w:p>
            <w:pPr>
              <w:jc w:val="center"/>
            </w:pPr>
            <w:r>
              <w:rPr>
                <w:sz w:val="18"/>
              </w:rPr>
              <w:t>Current</w:t>
            </w:r>
          </w:p>
        </w:tc>
        <w:tc>
          <w:tcPr>
            <w:tcW w:type="dxa" w:w="2160"/>
            <w:shd w:val="clear" w:color="auto" w:fill="EBF2FA"/>
            <w:vAlign w:val="center"/>
          </w:tcPr>
          <w:p>
            <w:pPr>
              <w:jc w:val="center"/>
            </w:pPr>
            <w:r>
              <w:rPr>
                <w:sz w:val="18"/>
              </w:rPr>
              <w:t>DROPPED</w:t>
            </w:r>
          </w:p>
        </w:tc>
        <w:tc>
          <w:tcPr>
            <w:tcW w:type="dxa" w:w="1440"/>
            <w:shd w:val="clear" w:color="auto" w:fill="EBF2FA"/>
            <w:vAlign w:val="center"/>
          </w:tcPr>
          <w:p>
            <w:pPr>
              <w:jc w:val="center"/>
            </w:pPr>
            <w:r>
              <w:rPr>
                <w:sz w:val="18"/>
              </w:rPr>
              <w:t>878,317</w:t>
            </w:r>
          </w:p>
        </w:tc>
        <w:tc>
          <w:tcPr>
            <w:tcW w:type="dxa" w:w="1296"/>
            <w:shd w:val="clear" w:color="auto" w:fill="EBF2FA"/>
            <w:vAlign w:val="center"/>
          </w:tcPr>
          <w:p>
            <w:pPr>
              <w:jc w:val="center"/>
            </w:pPr>
            <w:r>
              <w:rPr>
                <w:sz w:val="18"/>
              </w:rPr>
              <w:t>38.9%</w:t>
            </w:r>
          </w:p>
        </w:tc>
        <w:tc>
          <w:tcPr>
            <w:tcW w:type="dxa" w:w="2592"/>
            <w:shd w:val="clear" w:color="auto" w:fill="EBF2FA"/>
            <w:vAlign w:val="center"/>
          </w:tcPr>
          <w:p>
            <w:pPr>
              <w:jc w:val="center"/>
            </w:pPr>
            <w:r>
              <w:rPr>
                <w:sz w:val="18"/>
              </w:rPr>
              <w:t>Loan still active — unknown outcome</w:t>
            </w:r>
          </w:p>
        </w:tc>
      </w:tr>
      <w:tr>
        <w:tc>
          <w:tcPr>
            <w:tcW w:type="dxa" w:w="3312"/>
            <w:vAlign w:val="center"/>
          </w:tcPr>
          <w:p>
            <w:pPr>
              <w:jc w:val="center"/>
            </w:pPr>
            <w:r>
              <w:rPr>
                <w:sz w:val="18"/>
              </w:rPr>
              <w:t>Late (31-120 days)</w:t>
            </w:r>
          </w:p>
        </w:tc>
        <w:tc>
          <w:tcPr>
            <w:tcW w:type="dxa" w:w="2160"/>
            <w:vAlign w:val="center"/>
          </w:tcPr>
          <w:p>
            <w:pPr>
              <w:jc w:val="center"/>
            </w:pPr>
            <w:r>
              <w:rPr>
                <w:sz w:val="18"/>
              </w:rPr>
              <w:t>DROPPED</w:t>
            </w:r>
          </w:p>
        </w:tc>
        <w:tc>
          <w:tcPr>
            <w:tcW w:type="dxa" w:w="1440"/>
            <w:vAlign w:val="center"/>
          </w:tcPr>
          <w:p>
            <w:pPr>
              <w:jc w:val="center"/>
            </w:pPr>
            <w:r>
              <w:rPr>
                <w:sz w:val="18"/>
              </w:rPr>
              <w:t>21,467</w:t>
            </w:r>
          </w:p>
        </w:tc>
        <w:tc>
          <w:tcPr>
            <w:tcW w:type="dxa" w:w="1296"/>
            <w:vAlign w:val="center"/>
          </w:tcPr>
          <w:p>
            <w:pPr>
              <w:jc w:val="center"/>
            </w:pPr>
            <w:r>
              <w:rPr>
                <w:sz w:val="18"/>
              </w:rPr>
              <w:t>0.9%</w:t>
            </w:r>
          </w:p>
        </w:tc>
        <w:tc>
          <w:tcPr>
            <w:tcW w:type="dxa" w:w="2592"/>
            <w:vAlign w:val="center"/>
          </w:tcPr>
          <w:p>
            <w:pPr>
              <w:jc w:val="center"/>
            </w:pPr>
            <w:r>
              <w:rPr>
                <w:sz w:val="18"/>
              </w:rPr>
              <w:t>Ambiguous — may still resolve</w:t>
            </w:r>
          </w:p>
        </w:tc>
      </w:tr>
      <w:tr>
        <w:tc>
          <w:tcPr>
            <w:tcW w:type="dxa" w:w="3312"/>
            <w:shd w:val="clear" w:color="auto" w:fill="EBF2FA"/>
            <w:vAlign w:val="center"/>
          </w:tcPr>
          <w:p>
            <w:pPr>
              <w:jc w:val="center"/>
            </w:pPr>
            <w:r>
              <w:rPr>
                <w:sz w:val="18"/>
              </w:rPr>
              <w:t>In Grace Period</w:t>
            </w:r>
          </w:p>
        </w:tc>
        <w:tc>
          <w:tcPr>
            <w:tcW w:type="dxa" w:w="2160"/>
            <w:shd w:val="clear" w:color="auto" w:fill="EBF2FA"/>
            <w:vAlign w:val="center"/>
          </w:tcPr>
          <w:p>
            <w:pPr>
              <w:jc w:val="center"/>
            </w:pPr>
            <w:r>
              <w:rPr>
                <w:sz w:val="18"/>
              </w:rPr>
              <w:t>DROPPED</w:t>
            </w:r>
          </w:p>
        </w:tc>
        <w:tc>
          <w:tcPr>
            <w:tcW w:type="dxa" w:w="1440"/>
            <w:shd w:val="clear" w:color="auto" w:fill="EBF2FA"/>
            <w:vAlign w:val="center"/>
          </w:tcPr>
          <w:p>
            <w:pPr>
              <w:jc w:val="center"/>
            </w:pPr>
            <w:r>
              <w:rPr>
                <w:sz w:val="18"/>
              </w:rPr>
              <w:t>8,436</w:t>
            </w:r>
          </w:p>
        </w:tc>
        <w:tc>
          <w:tcPr>
            <w:tcW w:type="dxa" w:w="1296"/>
            <w:shd w:val="clear" w:color="auto" w:fill="EBF2FA"/>
            <w:vAlign w:val="center"/>
          </w:tcPr>
          <w:p>
            <w:pPr>
              <w:jc w:val="center"/>
            </w:pPr>
            <w:r>
              <w:rPr>
                <w:sz w:val="18"/>
              </w:rPr>
              <w:t>0.4%</w:t>
            </w:r>
          </w:p>
        </w:tc>
        <w:tc>
          <w:tcPr>
            <w:tcW w:type="dxa" w:w="2592"/>
            <w:shd w:val="clear" w:color="auto" w:fill="EBF2FA"/>
            <w:vAlign w:val="center"/>
          </w:tcPr>
          <w:p>
            <w:pPr>
              <w:jc w:val="center"/>
            </w:pPr>
            <w:r>
              <w:rPr>
                <w:sz w:val="18"/>
              </w:rPr>
              <w:t>Ambiguous — may still resolve</w:t>
            </w:r>
          </w:p>
        </w:tc>
      </w:tr>
      <w:tr>
        <w:tc>
          <w:tcPr>
            <w:tcW w:type="dxa" w:w="3312"/>
            <w:vAlign w:val="center"/>
          </w:tcPr>
          <w:p>
            <w:pPr>
              <w:jc w:val="center"/>
            </w:pPr>
            <w:r>
              <w:rPr>
                <w:sz w:val="18"/>
              </w:rPr>
              <w:t>Late (16-30 days)</w:t>
            </w:r>
          </w:p>
        </w:tc>
        <w:tc>
          <w:tcPr>
            <w:tcW w:type="dxa" w:w="2160"/>
            <w:vAlign w:val="center"/>
          </w:tcPr>
          <w:p>
            <w:pPr>
              <w:jc w:val="center"/>
            </w:pPr>
            <w:r>
              <w:rPr>
                <w:sz w:val="18"/>
              </w:rPr>
              <w:t>DROPPED</w:t>
            </w:r>
          </w:p>
        </w:tc>
        <w:tc>
          <w:tcPr>
            <w:tcW w:type="dxa" w:w="1440"/>
            <w:vAlign w:val="center"/>
          </w:tcPr>
          <w:p>
            <w:pPr>
              <w:jc w:val="center"/>
            </w:pPr>
            <w:r>
              <w:rPr>
                <w:sz w:val="18"/>
              </w:rPr>
              <w:t>4,349</w:t>
            </w:r>
          </w:p>
        </w:tc>
        <w:tc>
          <w:tcPr>
            <w:tcW w:type="dxa" w:w="1296"/>
            <w:vAlign w:val="center"/>
          </w:tcPr>
          <w:p>
            <w:pPr>
              <w:jc w:val="center"/>
            </w:pPr>
            <w:r>
              <w:rPr>
                <w:sz w:val="18"/>
              </w:rPr>
              <w:t>0.2%</w:t>
            </w:r>
          </w:p>
        </w:tc>
        <w:tc>
          <w:tcPr>
            <w:tcW w:type="dxa" w:w="2592"/>
            <w:vAlign w:val="center"/>
          </w:tcPr>
          <w:p>
            <w:pPr>
              <w:jc w:val="center"/>
            </w:pPr>
            <w:r>
              <w:rPr>
                <w:sz w:val="18"/>
              </w:rPr>
              <w:t>Ambiguous — may still resolve</w:t>
            </w:r>
          </w:p>
        </w:tc>
      </w:tr>
    </w:tbl>
    <w:p>
      <w:pPr>
        <w:spacing w:after="120"/>
      </w:pPr>
    </w:p>
    <w:tbl>
      <w:tblPr>
        <w:tblStyle w:val="TableGrid"/>
        <w:tblW w:type="auto" w:w="0"/>
        <w:tblLook w:firstColumn="1" w:firstRow="1" w:lastColumn="0" w:lastRow="0" w:noHBand="0" w:noVBand="1" w:val="04A0"/>
      </w:tblPr>
      <w:tblGrid>
        <w:gridCol w:w="8640"/>
      </w:tblGrid>
      <w:tr>
        <w:tc>
          <w:tcPr>
            <w:tcW w:type="dxa" w:w="8640"/>
            <w:shd w:val="clear" w:color="auto" w:fill="1F497D"/>
          </w:tcPr>
          <w:p>
            <w:pPr>
              <w:spacing w:before="80" w:after="80"/>
            </w:pPr>
            <w:r>
              <w:rPr>
                <w:b/>
                <w:color w:val="FFFFFF"/>
                <w:sz w:val="18"/>
              </w:rPr>
              <w:t xml:space="preserve">CLASS IMBALANCE:  </w:t>
            </w:r>
            <w:r>
              <w:rPr>
                <w:color w:val="FFFFFF"/>
                <w:sz w:val="18"/>
              </w:rPr>
              <w:t>After filtering, the dataset contains 80.0% good loans (class 0) and 20.0% defaults (class 1). This imbalance is realistic — most borrowers do repay — but it means the model needs special handling to avoid ignoring the minority class.</w:t>
            </w:r>
          </w:p>
        </w:tc>
      </w:tr>
    </w:tbl>
    <w:p>
      <w:pPr>
        <w:spacing w:after="80"/>
      </w:pPr>
    </w:p>
    <w:p>
      <w:r>
        <w:br w:type="page"/>
      </w:r>
    </w:p>
    <w:p>
      <w:pPr>
        <w:pStyle w:val="Heading1"/>
        <w:spacing w:before="240" w:after="120"/>
      </w:pPr>
      <w:r>
        <w:rPr>
          <w:color w:val="0D2B55"/>
        </w:rPr>
        <w:t>3.5  The Rejected Applications — Completing the Picture</w:t>
      </w:r>
    </w:p>
    <w:p>
      <w:pPr>
        <w:spacing w:after="120" w:before="40"/>
      </w:pPr>
      <w:r>
        <w:rPr>
          <w:b w:val="0"/>
          <w:i w:val="0"/>
        </w:rPr>
        <w:t>Most analyses of LendingClub data focus only on the accepted loans — the ones that were funded and either repaid or defaulted. But LendingClub also published a second dataset: every loan application they rejected. Analysing this rejected dataset gives us a crucial piece of context: who never even made it into our model's training data, and why.</w:t>
      </w:r>
    </w:p>
    <w:p>
      <w:pPr>
        <w:pStyle w:val="Heading2"/>
        <w:spacing w:before="240" w:after="120"/>
      </w:pPr>
      <w:r>
        <w:rPr>
          <w:color w:val="1F497D"/>
        </w:rPr>
        <w:t>3.5.1  The Scale: How Many Applications Were Rejected?</w:t>
      </w:r>
    </w:p>
    <w:p>
      <w:pPr>
        <w:spacing w:after="120" w:before="40"/>
      </w:pPr>
      <w:r>
        <w:rPr>
          <w:b w:val="0"/>
          <w:i w:val="0"/>
        </w:rPr>
        <w:t>Between 2007 and 2018, LendingClub received nearly 30 million loan applications in total. The overwhelming majority were turned down before a single dollar was lent.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6E4F0"/>
          </w:tcPr>
          <w:p>
            <w:r>
              <w:rPr>
                <w:b/>
                <w:sz w:val="18"/>
              </w:rPr>
              <w:t>Total Applications Ever Received</w:t>
            </w:r>
          </w:p>
        </w:tc>
        <w:tc>
          <w:tcPr>
            <w:tcW w:type="dxa" w:w="2160"/>
          </w:tcPr>
          <w:p>
            <w:r>
              <w:rPr>
                <w:b/>
                <w:color w:val="C0392B"/>
                <w:sz w:val="18"/>
              </w:rPr>
              <w:t>29,909,442</w:t>
            </w:r>
          </w:p>
        </w:tc>
        <w:tc>
          <w:tcPr>
            <w:tcW w:type="dxa" w:w="2160"/>
            <w:shd w:val="clear" w:color="auto" w:fill="D6E4F0"/>
          </w:tcPr>
          <w:p>
            <w:r>
              <w:rPr>
                <w:b/>
                <w:sz w:val="18"/>
              </w:rPr>
              <w:t>Applications Rejected</w:t>
            </w:r>
          </w:p>
        </w:tc>
        <w:tc>
          <w:tcPr>
            <w:tcW w:type="dxa" w:w="2160"/>
          </w:tcPr>
          <w:p>
            <w:r>
              <w:rPr>
                <w:b/>
                <w:color w:val="C0392B"/>
                <w:sz w:val="18"/>
              </w:rPr>
              <w:t>27,648,741  (92.4%)</w:t>
            </w:r>
          </w:p>
        </w:tc>
      </w:tr>
      <w:tr>
        <w:tc>
          <w:tcPr>
            <w:tcW w:type="dxa" w:w="2160"/>
            <w:shd w:val="clear" w:color="auto" w:fill="D6E4F0"/>
          </w:tcPr>
          <w:p>
            <w:r>
              <w:rPr>
                <w:b/>
                <w:sz w:val="18"/>
              </w:rPr>
              <w:t>Applications Accepted</w:t>
            </w:r>
          </w:p>
        </w:tc>
        <w:tc>
          <w:tcPr>
            <w:tcW w:type="dxa" w:w="2160"/>
          </w:tcPr>
          <w:p>
            <w:r>
              <w:rPr>
                <w:b/>
                <w:color w:val="C0392B"/>
                <w:sz w:val="18"/>
              </w:rPr>
              <w:t>2,260,701  (7.6%)</w:t>
            </w:r>
          </w:p>
        </w:tc>
        <w:tc>
          <w:tcPr>
            <w:tcW w:type="dxa" w:w="2160"/>
            <w:shd w:val="clear" w:color="auto" w:fill="D6E4F0"/>
          </w:tcPr>
          <w:p>
            <w:r>
              <w:rPr>
                <w:b/>
                <w:sz w:val="18"/>
              </w:rPr>
              <w:t>Used in Our ML Model</w:t>
            </w:r>
          </w:p>
        </w:tc>
        <w:tc>
          <w:tcPr>
            <w:tcW w:type="dxa" w:w="2160"/>
          </w:tcPr>
          <w:p>
            <w:r>
              <w:rPr>
                <w:b/>
                <w:color w:val="C0392B"/>
                <w:sz w:val="18"/>
              </w:rPr>
              <w:t>1,348,092  (accepted + resolved only)</w:t>
            </w:r>
          </w:p>
        </w:tc>
      </w:tr>
    </w:tbl>
    <w:p>
      <w:pPr>
        <w:spacing w:after="120"/>
      </w:pPr>
    </w:p>
    <w:tbl>
      <w:tblPr>
        <w:tblStyle w:val="TableGrid"/>
        <w:tblW w:type="auto" w:w="0"/>
        <w:tblLook w:firstColumn="1" w:firstRow="1" w:lastColumn="0" w:lastRow="0" w:noHBand="0" w:noVBand="1" w:val="04A0"/>
      </w:tblPr>
      <w:tblGrid>
        <w:gridCol w:w="8640"/>
      </w:tblGrid>
      <w:tr>
        <w:tc>
          <w:tcPr>
            <w:tcW w:type="dxa" w:w="8640"/>
            <w:shd w:val="clear" w:color="auto" w:fill="1F497D"/>
          </w:tcPr>
          <w:p>
            <w:pPr>
              <w:spacing w:before="80" w:after="80"/>
            </w:pPr>
            <w:r>
              <w:rPr>
                <w:b/>
                <w:color w:val="FFFFFF"/>
                <w:sz w:val="18"/>
              </w:rPr>
              <w:t xml:space="preserve">KEY CONTEXT:  </w:t>
            </w:r>
            <w:r>
              <w:rPr>
                <w:color w:val="FFFFFF"/>
                <w:sz w:val="18"/>
              </w:rPr>
              <w:t>Out of every 100 people who applied to LendingClub, approximately 92 were rejected outright before any loan was issued. Our machine learning model only ever sees the 8 who passed LendingClub's initial screening — and even among those, 20% still defaulted.</w:t>
            </w:r>
          </w:p>
        </w:tc>
      </w:tr>
    </w:tbl>
    <w:p>
      <w:pPr>
        <w:spacing w:after="80"/>
      </w:pPr>
    </w:p>
    <w:p>
      <w:pPr>
        <w:jc w:val="center"/>
      </w:pPr>
      <w:r>
        <w:drawing>
          <wp:inline xmlns:a="http://schemas.openxmlformats.org/drawingml/2006/main" xmlns:pic="http://schemas.openxmlformats.org/drawingml/2006/picture">
            <wp:extent cx="5486400" cy="1899138"/>
            <wp:docPr id="1" name="Picture 1"/>
            <wp:cNvGraphicFramePr>
              <a:graphicFrameLocks noChangeAspect="1"/>
            </wp:cNvGraphicFramePr>
            <a:graphic>
              <a:graphicData uri="http://schemas.openxmlformats.org/drawingml/2006/picture">
                <pic:pic>
                  <pic:nvPicPr>
                    <pic:cNvPr id="0" name="rpt_rej_scale.png"/>
                    <pic:cNvPicPr/>
                  </pic:nvPicPr>
                  <pic:blipFill>
                    <a:blip r:embed="rId9"/>
                    <a:stretch>
                      <a:fillRect/>
                    </a:stretch>
                  </pic:blipFill>
                  <pic:spPr>
                    <a:xfrm>
                      <a:off x="0" y="0"/>
                      <a:ext cx="5486400" cy="1899138"/>
                    </a:xfrm>
                    <a:prstGeom prst="rect"/>
                  </pic:spPr>
                </pic:pic>
              </a:graphicData>
            </a:graphic>
          </wp:inline>
        </w:drawing>
      </w:r>
    </w:p>
    <w:p>
      <w:pPr>
        <w:spacing w:after="200"/>
        <w:jc w:val="center"/>
      </w:pPr>
      <w:r>
        <w:rPr>
          <w:i/>
          <w:color w:val="555555"/>
          <w:sz w:val="18"/>
        </w:rPr>
        <w:t>Figure: Left — total rejected vs accepted. Right — the three-tier funnel from all applications down to the 1.35M loans used in our model.</w:t>
      </w:r>
    </w:p>
    <w:p>
      <w:pPr>
        <w:pStyle w:val="Heading2"/>
        <w:spacing w:before="240" w:after="120"/>
      </w:pPr>
      <w:r>
        <w:rPr>
          <w:color w:val="1F497D"/>
        </w:rPr>
        <w:t>3.5.2  The Biggest Rejection Driver: Employment Stability</w:t>
      </w:r>
    </w:p>
    <w:p>
      <w:pPr>
        <w:spacing w:after="120" w:before="40"/>
      </w:pPr>
      <w:r>
        <w:rPr>
          <w:b w:val="0"/>
          <w:i w:val="0"/>
        </w:rPr>
        <w:t>The most striking finding from the rejected dataset is not DTI or credit score — it is employment length. A massive 70.2% of rejected applicants had less than one year of employment history, compared to just 8.5% of accepted applicants. This single factor alone explains a large part of LendingClub's rejection decisions. An applicant who just started a new job (or who has no stable employment record) represents a much higher income risk — if they lose their job, they cannot repay the loan.</w:t>
      </w:r>
    </w:p>
    <w:p>
      <w:pPr>
        <w:jc w:val="center"/>
      </w:pPr>
      <w:r>
        <w:drawing>
          <wp:inline xmlns:a="http://schemas.openxmlformats.org/drawingml/2006/main" xmlns:pic="http://schemas.openxmlformats.org/drawingml/2006/picture">
            <wp:extent cx="5669280" cy="2125980"/>
            <wp:docPr id="2" name="Picture 2"/>
            <wp:cNvGraphicFramePr>
              <a:graphicFrameLocks noChangeAspect="1"/>
            </wp:cNvGraphicFramePr>
            <a:graphic>
              <a:graphicData uri="http://schemas.openxmlformats.org/drawingml/2006/picture">
                <pic:pic>
                  <pic:nvPicPr>
                    <pic:cNvPr id="0" name="rpt_rej_emp.png"/>
                    <pic:cNvPicPr/>
                  </pic:nvPicPr>
                  <pic:blipFill>
                    <a:blip r:embed="rId10"/>
                    <a:stretch>
                      <a:fillRect/>
                    </a:stretch>
                  </pic:blipFill>
                  <pic:spPr>
                    <a:xfrm>
                      <a:off x="0" y="0"/>
                      <a:ext cx="5669280" cy="2125980"/>
                    </a:xfrm>
                    <a:prstGeom prst="rect"/>
                  </pic:spPr>
                </pic:pic>
              </a:graphicData>
            </a:graphic>
          </wp:inline>
        </w:drawing>
      </w:r>
    </w:p>
    <w:p>
      <w:pPr>
        <w:spacing w:after="200"/>
        <w:jc w:val="center"/>
      </w:pPr>
      <w:r>
        <w:rPr>
          <w:i/>
          <w:color w:val="555555"/>
          <w:sz w:val="18"/>
        </w:rPr>
        <w:t>Figure: Employment length distribution for accepted vs rejected applicants. 70.2% of rejected applicants had under 1 year of employment, vs 8.5% of accepted. 10+ year employees made up 34.9% of accepted but only 6.1% of rejected.</w:t>
      </w:r>
    </w:p>
    <w:tbl>
      <w:tblPr>
        <w:tblStyle w:val="TableGrid"/>
        <w:tblW w:type="auto" w:w="0"/>
        <w:tblLook w:firstColumn="1" w:firstRow="1" w:lastColumn="0" w:lastRow="0" w:noHBand="0" w:noVBand="1" w:val="04A0"/>
      </w:tblPr>
      <w:tblGrid>
        <w:gridCol w:w="8640"/>
      </w:tblGrid>
      <w:tr>
        <w:tc>
          <w:tcPr>
            <w:tcW w:type="dxa" w:w="8640"/>
            <w:shd w:val="clear" w:color="auto" w:fill="922B21"/>
          </w:tcPr>
          <w:p>
            <w:pPr>
              <w:spacing w:before="80" w:after="80"/>
            </w:pPr>
            <w:r>
              <w:rPr>
                <w:b/>
                <w:color w:val="FFFFFF"/>
                <w:sz w:val="18"/>
              </w:rPr>
              <w:t xml:space="preserve">KEY FINDING: EMPLOYMENT:  </w:t>
            </w:r>
            <w:r>
              <w:rPr>
                <w:color w:val="FFFFFF"/>
                <w:sz w:val="18"/>
              </w:rPr>
              <w:t>70.2% of rejected applicants had less than 1 year of employment, compared to 8.5% of accepted applicants — a gap of +61.7 percentage points. Employment stability was the single largest differentiator between who was accepted and who was rejected.</w:t>
            </w:r>
          </w:p>
        </w:tc>
      </w:tr>
    </w:tbl>
    <w:p>
      <w:pPr>
        <w:spacing w:after="80"/>
      </w:pP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color="auto" w:fill="1F497D"/>
            <w:vAlign w:val="center"/>
          </w:tcPr>
          <w:p>
            <w:pPr>
              <w:jc w:val="center"/>
            </w:pPr>
            <w:r>
              <w:rPr>
                <w:b/>
                <w:color w:val="FFFFFF"/>
                <w:sz w:val="18"/>
              </w:rPr>
              <w:t>Employment Length</w:t>
            </w:r>
          </w:p>
        </w:tc>
        <w:tc>
          <w:tcPr>
            <w:tcW w:type="dxa" w:w="2016"/>
            <w:shd w:val="clear" w:color="auto" w:fill="1F497D"/>
            <w:vAlign w:val="center"/>
          </w:tcPr>
          <w:p>
            <w:pPr>
              <w:jc w:val="center"/>
            </w:pPr>
            <w:r>
              <w:rPr>
                <w:b/>
                <w:color w:val="FFFFFF"/>
                <w:sz w:val="18"/>
              </w:rPr>
              <w:t>Accepted (%)</w:t>
            </w:r>
          </w:p>
        </w:tc>
        <w:tc>
          <w:tcPr>
            <w:tcW w:type="dxa" w:w="2016"/>
            <w:shd w:val="clear" w:color="auto" w:fill="1F497D"/>
            <w:vAlign w:val="center"/>
          </w:tcPr>
          <w:p>
            <w:pPr>
              <w:jc w:val="center"/>
            </w:pPr>
            <w:r>
              <w:rPr>
                <w:b/>
                <w:color w:val="FFFFFF"/>
                <w:sz w:val="18"/>
              </w:rPr>
              <w:t>Rejected (%)</w:t>
            </w:r>
          </w:p>
        </w:tc>
        <w:tc>
          <w:tcPr>
            <w:tcW w:type="dxa" w:w="2016"/>
            <w:shd w:val="clear" w:color="auto" w:fill="1F497D"/>
            <w:vAlign w:val="center"/>
          </w:tcPr>
          <w:p>
            <w:pPr>
              <w:jc w:val="center"/>
            </w:pPr>
            <w:r>
              <w:rPr>
                <w:b/>
                <w:color w:val="FFFFFF"/>
                <w:sz w:val="18"/>
              </w:rPr>
              <w:t>Gap (pp)</w:t>
            </w:r>
          </w:p>
        </w:tc>
      </w:tr>
      <w:tr>
        <w:tc>
          <w:tcPr>
            <w:tcW w:type="dxa" w:w="2592"/>
          </w:tcPr>
          <w:p/>
        </w:tc>
        <w:tc>
          <w:tcPr>
            <w:tcW w:type="dxa" w:w="2016"/>
          </w:tcPr>
          <w:p/>
        </w:tc>
        <w:tc>
          <w:tcPr>
            <w:tcW w:type="dxa" w:w="2016"/>
          </w:tcPr>
          <w:p/>
        </w:tc>
        <w:tc>
          <w:tcPr>
            <w:tcW w:type="dxa" w:w="2016"/>
          </w:tcPr>
          <w:p/>
        </w:tc>
      </w:tr>
      <w:tr>
        <w:tc>
          <w:tcPr>
            <w:tcW w:type="dxa" w:w="2592"/>
          </w:tcPr>
          <w:p/>
        </w:tc>
        <w:tc>
          <w:tcPr>
            <w:tcW w:type="dxa" w:w="2016"/>
          </w:tcPr>
          <w:p/>
        </w:tc>
        <w:tc>
          <w:tcPr>
            <w:tcW w:type="dxa" w:w="2016"/>
          </w:tcPr>
          <w:p/>
        </w:tc>
        <w:tc>
          <w:tcPr>
            <w:tcW w:type="dxa" w:w="2016"/>
          </w:tcPr>
          <w:p/>
        </w:tc>
      </w:tr>
      <w:tr>
        <w:tc>
          <w:tcPr>
            <w:tcW w:type="dxa" w:w="2592"/>
          </w:tcPr>
          <w:p/>
        </w:tc>
        <w:tc>
          <w:tcPr>
            <w:tcW w:type="dxa" w:w="2016"/>
          </w:tcPr>
          <w:p/>
        </w:tc>
        <w:tc>
          <w:tcPr>
            <w:tcW w:type="dxa" w:w="2016"/>
          </w:tcPr>
          <w:p/>
        </w:tc>
        <w:tc>
          <w:tcPr>
            <w:tcW w:type="dxa" w:w="2016"/>
          </w:tcPr>
          <w:p/>
        </w:tc>
      </w:tr>
      <w:tr>
        <w:tc>
          <w:tcPr>
            <w:tcW w:type="dxa" w:w="2592"/>
          </w:tcPr>
          <w:p/>
        </w:tc>
        <w:tc>
          <w:tcPr>
            <w:tcW w:type="dxa" w:w="2016"/>
          </w:tcPr>
          <w:p/>
        </w:tc>
        <w:tc>
          <w:tcPr>
            <w:tcW w:type="dxa" w:w="2016"/>
          </w:tcPr>
          <w:p/>
        </w:tc>
        <w:tc>
          <w:tcPr>
            <w:tcW w:type="dxa" w:w="2016"/>
          </w:tcPr>
          <w:p/>
        </w:tc>
      </w:tr>
      <w:tr>
        <w:tc>
          <w:tcPr>
            <w:tcW w:type="dxa" w:w="2592"/>
          </w:tcPr>
          <w:p/>
        </w:tc>
        <w:tc>
          <w:tcPr>
            <w:tcW w:type="dxa" w:w="2016"/>
          </w:tcPr>
          <w:p/>
        </w:tc>
        <w:tc>
          <w:tcPr>
            <w:tcW w:type="dxa" w:w="2016"/>
          </w:tcPr>
          <w:p/>
        </w:tc>
        <w:tc>
          <w:tcPr>
            <w:tcW w:type="dxa" w:w="2016"/>
          </w:tcPr>
          <w:p/>
        </w:tc>
      </w:tr>
      <w:tr>
        <w:tc>
          <w:tcPr>
            <w:tcW w:type="dxa" w:w="2592"/>
            <w:vAlign w:val="center"/>
          </w:tcPr>
          <w:p>
            <w:pPr>
              <w:jc w:val="center"/>
            </w:pPr>
            <w:r>
              <w:rPr>
                <w:sz w:val="18"/>
              </w:rPr>
              <w:t>&lt; 1 year</w:t>
            </w:r>
          </w:p>
        </w:tc>
        <w:tc>
          <w:tcPr>
            <w:tcW w:type="dxa" w:w="2016"/>
            <w:vAlign w:val="center"/>
          </w:tcPr>
          <w:p>
            <w:pPr>
              <w:jc w:val="center"/>
            </w:pPr>
            <w:r>
              <w:rPr>
                <w:sz w:val="18"/>
              </w:rPr>
              <w:t>8.5%</w:t>
            </w:r>
          </w:p>
        </w:tc>
        <w:tc>
          <w:tcPr>
            <w:tcW w:type="dxa" w:w="2016"/>
            <w:vAlign w:val="center"/>
          </w:tcPr>
          <w:p>
            <w:pPr>
              <w:jc w:val="center"/>
            </w:pPr>
            <w:r>
              <w:rPr>
                <w:sz w:val="18"/>
              </w:rPr>
              <w:t>70.2%</w:t>
            </w:r>
          </w:p>
        </w:tc>
        <w:tc>
          <w:tcPr>
            <w:tcW w:type="dxa" w:w="2016"/>
            <w:vAlign w:val="center"/>
          </w:tcPr>
          <w:p>
            <w:pPr>
              <w:jc w:val="center"/>
            </w:pPr>
            <w:r>
              <w:rPr>
                <w:sz w:val="18"/>
              </w:rPr>
              <w:t>+61.7</w:t>
            </w:r>
          </w:p>
        </w:tc>
      </w:tr>
      <w:tr>
        <w:tc>
          <w:tcPr>
            <w:tcW w:type="dxa" w:w="2592"/>
            <w:shd w:val="clear" w:color="auto" w:fill="EBF2FA"/>
            <w:vAlign w:val="center"/>
          </w:tcPr>
          <w:p>
            <w:pPr>
              <w:jc w:val="center"/>
            </w:pPr>
            <w:r>
              <w:rPr>
                <w:sz w:val="18"/>
              </w:rPr>
              <w:t>1 year</w:t>
            </w:r>
          </w:p>
        </w:tc>
        <w:tc>
          <w:tcPr>
            <w:tcW w:type="dxa" w:w="2016"/>
            <w:shd w:val="clear" w:color="auto" w:fill="EBF2FA"/>
            <w:vAlign w:val="center"/>
          </w:tcPr>
          <w:p>
            <w:pPr>
              <w:jc w:val="center"/>
            </w:pPr>
            <w:r>
              <w:rPr>
                <w:sz w:val="18"/>
              </w:rPr>
              <w:t>7.0%</w:t>
            </w:r>
          </w:p>
        </w:tc>
        <w:tc>
          <w:tcPr>
            <w:tcW w:type="dxa" w:w="2016"/>
            <w:shd w:val="clear" w:color="auto" w:fill="EBF2FA"/>
            <w:vAlign w:val="center"/>
          </w:tcPr>
          <w:p>
            <w:pPr>
              <w:jc w:val="center"/>
            </w:pPr>
            <w:r>
              <w:rPr>
                <w:sz w:val="18"/>
              </w:rPr>
              <w:t>4.4%</w:t>
            </w:r>
          </w:p>
        </w:tc>
        <w:tc>
          <w:tcPr>
            <w:tcW w:type="dxa" w:w="2016"/>
            <w:shd w:val="clear" w:color="auto" w:fill="EBF2FA"/>
            <w:vAlign w:val="center"/>
          </w:tcPr>
          <w:p>
            <w:pPr>
              <w:jc w:val="center"/>
            </w:pPr>
            <w:r>
              <w:rPr>
                <w:sz w:val="18"/>
              </w:rPr>
              <w:t>-2.6</w:t>
            </w:r>
          </w:p>
        </w:tc>
      </w:tr>
      <w:tr>
        <w:tc>
          <w:tcPr>
            <w:tcW w:type="dxa" w:w="2592"/>
            <w:vAlign w:val="center"/>
          </w:tcPr>
          <w:p>
            <w:pPr>
              <w:jc w:val="center"/>
            </w:pPr>
            <w:r>
              <w:rPr>
                <w:sz w:val="18"/>
              </w:rPr>
              <w:t>2 years</w:t>
            </w:r>
          </w:p>
        </w:tc>
        <w:tc>
          <w:tcPr>
            <w:tcW w:type="dxa" w:w="2016"/>
            <w:vAlign w:val="center"/>
          </w:tcPr>
          <w:p>
            <w:pPr>
              <w:jc w:val="center"/>
            </w:pPr>
            <w:r>
              <w:rPr>
                <w:sz w:val="18"/>
              </w:rPr>
              <w:t>9.6%</w:t>
            </w:r>
          </w:p>
        </w:tc>
        <w:tc>
          <w:tcPr>
            <w:tcW w:type="dxa" w:w="2016"/>
            <w:vAlign w:val="center"/>
          </w:tcPr>
          <w:p>
            <w:pPr>
              <w:jc w:val="center"/>
            </w:pPr>
            <w:r>
              <w:rPr>
                <w:sz w:val="18"/>
              </w:rPr>
              <w:t>4.5%</w:t>
            </w:r>
          </w:p>
        </w:tc>
        <w:tc>
          <w:tcPr>
            <w:tcW w:type="dxa" w:w="2016"/>
            <w:vAlign w:val="center"/>
          </w:tcPr>
          <w:p>
            <w:pPr>
              <w:jc w:val="center"/>
            </w:pPr>
            <w:r>
              <w:rPr>
                <w:sz w:val="18"/>
              </w:rPr>
              <w:t>-5.1</w:t>
            </w:r>
          </w:p>
        </w:tc>
      </w:tr>
      <w:tr>
        <w:tc>
          <w:tcPr>
            <w:tcW w:type="dxa" w:w="2592"/>
            <w:shd w:val="clear" w:color="auto" w:fill="EBF2FA"/>
            <w:vAlign w:val="center"/>
          </w:tcPr>
          <w:p>
            <w:pPr>
              <w:jc w:val="center"/>
            </w:pPr>
            <w:r>
              <w:rPr>
                <w:sz w:val="18"/>
              </w:rPr>
              <w:t>5 years</w:t>
            </w:r>
          </w:p>
        </w:tc>
        <w:tc>
          <w:tcPr>
            <w:tcW w:type="dxa" w:w="2016"/>
            <w:shd w:val="clear" w:color="auto" w:fill="EBF2FA"/>
            <w:vAlign w:val="center"/>
          </w:tcPr>
          <w:p>
            <w:pPr>
              <w:jc w:val="center"/>
            </w:pPr>
            <w:r>
              <w:rPr>
                <w:sz w:val="18"/>
              </w:rPr>
              <w:t>6.6%</w:t>
            </w:r>
          </w:p>
        </w:tc>
        <w:tc>
          <w:tcPr>
            <w:tcW w:type="dxa" w:w="2016"/>
            <w:shd w:val="clear" w:color="auto" w:fill="EBF2FA"/>
            <w:vAlign w:val="center"/>
          </w:tcPr>
          <w:p>
            <w:pPr>
              <w:jc w:val="center"/>
            </w:pPr>
            <w:r>
              <w:rPr>
                <w:sz w:val="18"/>
              </w:rPr>
              <w:t>2.4%</w:t>
            </w:r>
          </w:p>
        </w:tc>
        <w:tc>
          <w:tcPr>
            <w:tcW w:type="dxa" w:w="2016"/>
            <w:shd w:val="clear" w:color="auto" w:fill="EBF2FA"/>
            <w:vAlign w:val="center"/>
          </w:tcPr>
          <w:p>
            <w:pPr>
              <w:jc w:val="center"/>
            </w:pPr>
            <w:r>
              <w:rPr>
                <w:sz w:val="18"/>
              </w:rPr>
              <w:t>-4.3</w:t>
            </w:r>
          </w:p>
        </w:tc>
      </w:tr>
      <w:tr>
        <w:tc>
          <w:tcPr>
            <w:tcW w:type="dxa" w:w="2592"/>
            <w:vAlign w:val="center"/>
          </w:tcPr>
          <w:p>
            <w:pPr>
              <w:jc w:val="center"/>
            </w:pPr>
            <w:r>
              <w:rPr>
                <w:sz w:val="18"/>
              </w:rPr>
              <w:t>10+ years</w:t>
            </w:r>
          </w:p>
        </w:tc>
        <w:tc>
          <w:tcPr>
            <w:tcW w:type="dxa" w:w="2016"/>
            <w:vAlign w:val="center"/>
          </w:tcPr>
          <w:p>
            <w:pPr>
              <w:jc w:val="center"/>
            </w:pPr>
            <w:r>
              <w:rPr>
                <w:sz w:val="18"/>
              </w:rPr>
              <w:t>34.9%</w:t>
            </w:r>
          </w:p>
        </w:tc>
        <w:tc>
          <w:tcPr>
            <w:tcW w:type="dxa" w:w="2016"/>
            <w:vAlign w:val="center"/>
          </w:tcPr>
          <w:p>
            <w:pPr>
              <w:jc w:val="center"/>
            </w:pPr>
            <w:r>
              <w:rPr>
                <w:sz w:val="18"/>
              </w:rPr>
              <w:t>6.1%</w:t>
            </w:r>
          </w:p>
        </w:tc>
        <w:tc>
          <w:tcPr>
            <w:tcW w:type="dxa" w:w="2016"/>
            <w:vAlign w:val="center"/>
          </w:tcPr>
          <w:p>
            <w:pPr>
              <w:jc w:val="center"/>
            </w:pPr>
            <w:r>
              <w:rPr>
                <w:sz w:val="18"/>
              </w:rPr>
              <w:t>-28.8</w:t>
            </w:r>
          </w:p>
        </w:tc>
      </w:tr>
    </w:tbl>
    <w:p>
      <w:pPr>
        <w:spacing w:after="120"/>
      </w:pPr>
    </w:p>
    <w:p>
      <w:pPr>
        <w:pStyle w:val="Heading2"/>
        <w:spacing w:before="240" w:after="120"/>
      </w:pPr>
      <w:r>
        <w:rPr>
          <w:color w:val="1F497D"/>
        </w:rPr>
        <w:t>3.5.3  DTI: A Surprising Finding</w:t>
      </w:r>
    </w:p>
    <w:p>
      <w:pPr>
        <w:spacing w:after="120" w:before="40"/>
      </w:pPr>
      <w:r>
        <w:rPr>
          <w:b w:val="0"/>
          <w:i w:val="0"/>
        </w:rPr>
        <w:t>Debt-to-Income ratio is one of the strongest predictors in our machine learning model, so one would expect rejected applicants to have much higher DTI than accepted ones. The data tells a more nuanced story. The median DTI for rejected applicants (15.9%) was actually slightly lower than for accepted applicants (17.6%). However, the mean DTI was higher for rejected (19.3% vs 18.2%), and the distribution was more spread out with a longer right tail.</w:t>
      </w:r>
    </w:p>
    <w:p>
      <w:pPr>
        <w:spacing w:after="120" w:before="40"/>
      </w:pPr>
      <w:r>
        <w:rPr>
          <w:b w:val="0"/>
          <w:i w:val="0"/>
        </w:rPr>
        <w:t>This tells us that LendingClub did not use a simple DTI cutoff as its primary rejection rule. Instead, it relied more heavily on credit score and employment stability (as we saw in the previous section). High DTI applicants were more likely to be rejected, but a high DTI alone was not sufficient cause for rejection — other factors mattered more.</w:t>
      </w:r>
    </w:p>
    <w:p>
      <w:pPr>
        <w:jc w:val="center"/>
      </w:pPr>
      <w:r>
        <w:drawing>
          <wp:inline xmlns:a="http://schemas.openxmlformats.org/drawingml/2006/main" xmlns:pic="http://schemas.openxmlformats.org/drawingml/2006/picture">
            <wp:extent cx="5486400" cy="2438400"/>
            <wp:docPr id="3" name="Picture 3"/>
            <wp:cNvGraphicFramePr>
              <a:graphicFrameLocks noChangeAspect="1"/>
            </wp:cNvGraphicFramePr>
            <a:graphic>
              <a:graphicData uri="http://schemas.openxmlformats.org/drawingml/2006/picture">
                <pic:pic>
                  <pic:nvPicPr>
                    <pic:cNvPr id="0" name="rpt_rej_dti.png"/>
                    <pic:cNvPicPr/>
                  </pic:nvPicPr>
                  <pic:blipFill>
                    <a:blip r:embed="rId11"/>
                    <a:stretch>
                      <a:fillRect/>
                    </a:stretch>
                  </pic:blipFill>
                  <pic:spPr>
                    <a:xfrm>
                      <a:off x="0" y="0"/>
                      <a:ext cx="5486400" cy="2438400"/>
                    </a:xfrm>
                    <a:prstGeom prst="rect"/>
                  </pic:spPr>
                </pic:pic>
              </a:graphicData>
            </a:graphic>
          </wp:inline>
        </w:drawing>
      </w:r>
    </w:p>
    <w:p>
      <w:pPr>
        <w:spacing w:after="200"/>
        <w:jc w:val="center"/>
      </w:pPr>
      <w:r>
        <w:rPr>
          <w:i/>
          <w:color w:val="555555"/>
          <w:sz w:val="18"/>
        </w:rPr>
        <w:t>Figure: DTI distribution for accepted vs rejected applicants. The medians are close (15.9% rejected vs 17.6% accepted), but rejected applicants show a heavier right tail, indicating some very high-DTI applicants were rejected.</w:t>
      </w:r>
    </w:p>
    <w:tbl>
      <w:tblPr>
        <w:tblStyle w:val="TableGrid"/>
        <w:tblW w:type="auto" w:w="0"/>
        <w:tblLook w:firstColumn="1" w:firstRow="1" w:lastColumn="0" w:lastRow="0" w:noHBand="0" w:noVBand="1" w:val="04A0"/>
      </w:tblPr>
      <w:tblGrid>
        <w:gridCol w:w="8640"/>
      </w:tblGrid>
      <w:tr>
        <w:tc>
          <w:tcPr>
            <w:tcW w:type="dxa" w:w="8640"/>
            <w:shd w:val="clear" w:color="auto" w:fill="2C3E50"/>
          </w:tcPr>
          <w:p>
            <w:pPr>
              <w:spacing w:before="80" w:after="80"/>
            </w:pPr>
            <w:r>
              <w:rPr>
                <w:b/>
                <w:color w:val="FFFFFF"/>
                <w:sz w:val="18"/>
              </w:rPr>
              <w:t xml:space="preserve">DTI FINDING:  </w:t>
            </w:r>
            <w:r>
              <w:rPr>
                <w:color w:val="FFFFFF"/>
                <w:sz w:val="18"/>
              </w:rPr>
              <w:t>Accepted median DTI: 17.6%.  Rejected median DTI: 15.9%.  DTI alone was not LendingClub's primary rejection signal — credit score and employment stability played a larger role.</w:t>
            </w:r>
          </w:p>
        </w:tc>
      </w:tr>
    </w:tbl>
    <w:p>
      <w:pPr>
        <w:spacing w:after="80"/>
      </w:pPr>
    </w:p>
    <w:p>
      <w:pPr>
        <w:pStyle w:val="Heading2"/>
        <w:spacing w:before="240" w:after="120"/>
      </w:pPr>
      <w:r>
        <w:rPr>
          <w:color w:val="1F497D"/>
        </w:rPr>
        <w:t>3.5.4  Credit Score (Risk Score) of Rejected Applicants</w:t>
      </w:r>
    </w:p>
    <w:p>
      <w:pPr>
        <w:spacing w:after="120" w:before="40"/>
      </w:pPr>
      <w:r>
        <w:rPr>
          <w:b w:val="0"/>
          <w:i w:val="0"/>
        </w:rPr>
        <w:t>The rejected dataset includes a "Risk_Score" — a FICO-like credit score ranging from 300 to 850. Higher scores indicate better credit history. The accepted dataset does not have this field (LendingClub omitted it from public accepted data), so we analyse rejected applicants only. The median risk score for rejected applicants was 650 — in the "Fair" band. 62.2% of rejected applicants scored below 670 (Very Poor + Fair), meaning most had below-average credit. However, 31.6% scored in the "Good" range (670-739), suggesting that credit score alone was also not a hard cutoff — other factors combined to determine the final rejection decision.</w:t>
      </w:r>
    </w:p>
    <w:p>
      <w:pPr>
        <w:spacing w:after="60" w:before="40"/>
      </w:pPr>
      <w:r>
        <w:rPr>
          <w:b w:val="0"/>
          <w:i w:val="0"/>
        </w:rPr>
        <w:t>FICO credit score bands:</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color="auto" w:fill="1F497D"/>
            <w:vAlign w:val="center"/>
          </w:tcPr>
          <w:p>
            <w:pPr>
              <w:jc w:val="center"/>
            </w:pPr>
            <w:r>
              <w:rPr>
                <w:b/>
                <w:color w:val="FFFFFF"/>
                <w:sz w:val="18"/>
              </w:rPr>
              <w:t>Score Range</w:t>
            </w:r>
          </w:p>
        </w:tc>
        <w:tc>
          <w:tcPr>
            <w:tcW w:type="dxa" w:w="2016"/>
            <w:shd w:val="clear" w:color="auto" w:fill="1F497D"/>
            <w:vAlign w:val="center"/>
          </w:tcPr>
          <w:p>
            <w:pPr>
              <w:jc w:val="center"/>
            </w:pPr>
            <w:r>
              <w:rPr>
                <w:b/>
                <w:color w:val="FFFFFF"/>
                <w:sz w:val="18"/>
              </w:rPr>
              <w:t>Category</w:t>
            </w:r>
          </w:p>
        </w:tc>
        <w:tc>
          <w:tcPr>
            <w:tcW w:type="dxa" w:w="5184"/>
            <w:shd w:val="clear" w:color="auto" w:fill="1F497D"/>
            <w:vAlign w:val="center"/>
          </w:tcPr>
          <w:p>
            <w:pPr>
              <w:jc w:val="center"/>
            </w:pPr>
            <w:r>
              <w:rPr>
                <w:b/>
                <w:color w:val="FFFFFF"/>
                <w:sz w:val="18"/>
              </w:rPr>
              <w:t>% of Rejected Applicants</w:t>
            </w:r>
          </w:p>
        </w:tc>
      </w:tr>
      <w:tr>
        <w:tc>
          <w:tcPr>
            <w:tcW w:type="dxa" w:w="2016"/>
          </w:tcPr>
          <w:p/>
        </w:tc>
        <w:tc>
          <w:tcPr>
            <w:tcW w:type="dxa" w:w="2016"/>
          </w:tcPr>
          <w:p/>
        </w:tc>
        <w:tc>
          <w:tcPr>
            <w:tcW w:type="dxa" w:w="5184"/>
          </w:tcPr>
          <w:p/>
        </w:tc>
      </w:tr>
      <w:tr>
        <w:tc>
          <w:tcPr>
            <w:tcW w:type="dxa" w:w="2016"/>
          </w:tcPr>
          <w:p/>
        </w:tc>
        <w:tc>
          <w:tcPr>
            <w:tcW w:type="dxa" w:w="2016"/>
          </w:tcPr>
          <w:p/>
        </w:tc>
        <w:tc>
          <w:tcPr>
            <w:tcW w:type="dxa" w:w="5184"/>
          </w:tcPr>
          <w:p/>
        </w:tc>
      </w:tr>
      <w:tr>
        <w:tc>
          <w:tcPr>
            <w:tcW w:type="dxa" w:w="2016"/>
          </w:tcPr>
          <w:p/>
        </w:tc>
        <w:tc>
          <w:tcPr>
            <w:tcW w:type="dxa" w:w="2016"/>
          </w:tcPr>
          <w:p/>
        </w:tc>
        <w:tc>
          <w:tcPr>
            <w:tcW w:type="dxa" w:w="5184"/>
          </w:tcPr>
          <w:p/>
        </w:tc>
      </w:tr>
      <w:tr>
        <w:tc>
          <w:tcPr>
            <w:tcW w:type="dxa" w:w="2016"/>
          </w:tcPr>
          <w:p/>
        </w:tc>
        <w:tc>
          <w:tcPr>
            <w:tcW w:type="dxa" w:w="2016"/>
          </w:tcPr>
          <w:p/>
        </w:tc>
        <w:tc>
          <w:tcPr>
            <w:tcW w:type="dxa" w:w="5184"/>
          </w:tcPr>
          <w:p/>
        </w:tc>
      </w:tr>
      <w:tr>
        <w:tc>
          <w:tcPr>
            <w:tcW w:type="dxa" w:w="2016"/>
          </w:tcPr>
          <w:p/>
        </w:tc>
        <w:tc>
          <w:tcPr>
            <w:tcW w:type="dxa" w:w="2016"/>
          </w:tcPr>
          <w:p/>
        </w:tc>
        <w:tc>
          <w:tcPr>
            <w:tcW w:type="dxa" w:w="5184"/>
          </w:tcPr>
          <w:p/>
        </w:tc>
      </w:tr>
      <w:tr>
        <w:tc>
          <w:tcPr>
            <w:tcW w:type="dxa" w:w="2016"/>
            <w:vAlign w:val="center"/>
          </w:tcPr>
          <w:p>
            <w:pPr>
              <w:jc w:val="center"/>
            </w:pPr>
            <w:r>
              <w:rPr>
                <w:sz w:val="18"/>
              </w:rPr>
              <w:t>300 – 579</w:t>
            </w:r>
          </w:p>
        </w:tc>
        <w:tc>
          <w:tcPr>
            <w:tcW w:type="dxa" w:w="2016"/>
            <w:vAlign w:val="center"/>
          </w:tcPr>
          <w:p>
            <w:pPr>
              <w:jc w:val="center"/>
            </w:pPr>
            <w:r>
              <w:rPr>
                <w:sz w:val="18"/>
              </w:rPr>
              <w:t>Very Poor</w:t>
            </w:r>
          </w:p>
        </w:tc>
        <w:tc>
          <w:tcPr>
            <w:tcW w:type="dxa" w:w="5184"/>
            <w:vAlign w:val="center"/>
          </w:tcPr>
          <w:p>
            <w:pPr>
              <w:jc w:val="center"/>
            </w:pPr>
            <w:r>
              <w:rPr>
                <w:sz w:val="18"/>
              </w:rPr>
              <w:t>23.5%</w:t>
            </w:r>
          </w:p>
        </w:tc>
      </w:tr>
      <w:tr>
        <w:tc>
          <w:tcPr>
            <w:tcW w:type="dxa" w:w="2016"/>
            <w:shd w:val="clear" w:color="auto" w:fill="EBF2FA"/>
            <w:vAlign w:val="center"/>
          </w:tcPr>
          <w:p>
            <w:pPr>
              <w:jc w:val="center"/>
            </w:pPr>
            <w:r>
              <w:rPr>
                <w:sz w:val="18"/>
              </w:rPr>
              <w:t>580 – 669</w:t>
            </w:r>
          </w:p>
        </w:tc>
        <w:tc>
          <w:tcPr>
            <w:tcW w:type="dxa" w:w="2016"/>
            <w:shd w:val="clear" w:color="auto" w:fill="EBF2FA"/>
            <w:vAlign w:val="center"/>
          </w:tcPr>
          <w:p>
            <w:pPr>
              <w:jc w:val="center"/>
            </w:pPr>
            <w:r>
              <w:rPr>
                <w:sz w:val="18"/>
              </w:rPr>
              <w:t>Fair</w:t>
            </w:r>
          </w:p>
        </w:tc>
        <w:tc>
          <w:tcPr>
            <w:tcW w:type="dxa" w:w="5184"/>
            <w:shd w:val="clear" w:color="auto" w:fill="EBF2FA"/>
            <w:vAlign w:val="center"/>
          </w:tcPr>
          <w:p>
            <w:pPr>
              <w:jc w:val="center"/>
            </w:pPr>
            <w:r>
              <w:rPr>
                <w:sz w:val="18"/>
              </w:rPr>
              <w:t>38.7%  ← Largest group</w:t>
            </w:r>
          </w:p>
        </w:tc>
      </w:tr>
      <w:tr>
        <w:tc>
          <w:tcPr>
            <w:tcW w:type="dxa" w:w="2016"/>
            <w:vAlign w:val="center"/>
          </w:tcPr>
          <w:p>
            <w:pPr>
              <w:jc w:val="center"/>
            </w:pPr>
            <w:r>
              <w:rPr>
                <w:sz w:val="18"/>
              </w:rPr>
              <w:t>670 – 739</w:t>
            </w:r>
          </w:p>
        </w:tc>
        <w:tc>
          <w:tcPr>
            <w:tcW w:type="dxa" w:w="2016"/>
            <w:vAlign w:val="center"/>
          </w:tcPr>
          <w:p>
            <w:pPr>
              <w:jc w:val="center"/>
            </w:pPr>
            <w:r>
              <w:rPr>
                <w:sz w:val="18"/>
              </w:rPr>
              <w:t>Good</w:t>
            </w:r>
          </w:p>
        </w:tc>
        <w:tc>
          <w:tcPr>
            <w:tcW w:type="dxa" w:w="5184"/>
            <w:vAlign w:val="center"/>
          </w:tcPr>
          <w:p>
            <w:pPr>
              <w:jc w:val="center"/>
            </w:pPr>
            <w:r>
              <w:rPr>
                <w:sz w:val="18"/>
              </w:rPr>
              <w:t>31.6%</w:t>
            </w:r>
          </w:p>
        </w:tc>
      </w:tr>
      <w:tr>
        <w:tc>
          <w:tcPr>
            <w:tcW w:type="dxa" w:w="2016"/>
            <w:shd w:val="clear" w:color="auto" w:fill="EBF2FA"/>
            <w:vAlign w:val="center"/>
          </w:tcPr>
          <w:p>
            <w:pPr>
              <w:jc w:val="center"/>
            </w:pPr>
            <w:r>
              <w:rPr>
                <w:sz w:val="18"/>
              </w:rPr>
              <w:t>740 – 799</w:t>
            </w:r>
          </w:p>
        </w:tc>
        <w:tc>
          <w:tcPr>
            <w:tcW w:type="dxa" w:w="2016"/>
            <w:shd w:val="clear" w:color="auto" w:fill="EBF2FA"/>
            <w:vAlign w:val="center"/>
          </w:tcPr>
          <w:p>
            <w:pPr>
              <w:jc w:val="center"/>
            </w:pPr>
            <w:r>
              <w:rPr>
                <w:sz w:val="18"/>
              </w:rPr>
              <w:t>Very Good</w:t>
            </w:r>
          </w:p>
        </w:tc>
        <w:tc>
          <w:tcPr>
            <w:tcW w:type="dxa" w:w="5184"/>
            <w:shd w:val="clear" w:color="auto" w:fill="EBF2FA"/>
            <w:vAlign w:val="center"/>
          </w:tcPr>
          <w:p>
            <w:pPr>
              <w:jc w:val="center"/>
            </w:pPr>
            <w:r>
              <w:rPr>
                <w:sz w:val="18"/>
              </w:rPr>
              <w:t>5.7%</w:t>
            </w:r>
          </w:p>
        </w:tc>
      </w:tr>
      <w:tr>
        <w:tc>
          <w:tcPr>
            <w:tcW w:type="dxa" w:w="2016"/>
            <w:vAlign w:val="center"/>
          </w:tcPr>
          <w:p>
            <w:pPr>
              <w:jc w:val="center"/>
            </w:pPr>
            <w:r>
              <w:rPr>
                <w:sz w:val="18"/>
              </w:rPr>
              <w:t>800 – 850</w:t>
            </w:r>
          </w:p>
        </w:tc>
        <w:tc>
          <w:tcPr>
            <w:tcW w:type="dxa" w:w="2016"/>
            <w:vAlign w:val="center"/>
          </w:tcPr>
          <w:p>
            <w:pPr>
              <w:jc w:val="center"/>
            </w:pPr>
            <w:r>
              <w:rPr>
                <w:sz w:val="18"/>
              </w:rPr>
              <w:t>Exceptional</w:t>
            </w:r>
          </w:p>
        </w:tc>
        <w:tc>
          <w:tcPr>
            <w:tcW w:type="dxa" w:w="5184"/>
            <w:vAlign w:val="center"/>
          </w:tcPr>
          <w:p>
            <w:pPr>
              <w:jc w:val="center"/>
            </w:pPr>
            <w:r>
              <w:rPr>
                <w:sz w:val="18"/>
              </w:rPr>
              <w:t>0.4%</w:t>
            </w:r>
          </w:p>
        </w:tc>
      </w:tr>
    </w:tbl>
    <w:p>
      <w:pPr>
        <w:spacing w:after="120"/>
      </w:pPr>
    </w:p>
    <w:p>
      <w:pPr>
        <w:jc w:val="center"/>
      </w:pPr>
      <w:r>
        <w:drawing>
          <wp:inline xmlns:a="http://schemas.openxmlformats.org/drawingml/2006/main" xmlns:pic="http://schemas.openxmlformats.org/drawingml/2006/picture">
            <wp:extent cx="5486400" cy="2438400"/>
            <wp:docPr id="4" name="Picture 4"/>
            <wp:cNvGraphicFramePr>
              <a:graphicFrameLocks noChangeAspect="1"/>
            </wp:cNvGraphicFramePr>
            <a:graphic>
              <a:graphicData uri="http://schemas.openxmlformats.org/drawingml/2006/picture">
                <pic:pic>
                  <pic:nvPicPr>
                    <pic:cNvPr id="0" name="rpt_rej_risk.png"/>
                    <pic:cNvPicPr/>
                  </pic:nvPicPr>
                  <pic:blipFill>
                    <a:blip r:embed="rId12"/>
                    <a:stretch>
                      <a:fillRect/>
                    </a:stretch>
                  </pic:blipFill>
                  <pic:spPr>
                    <a:xfrm>
                      <a:off x="0" y="0"/>
                      <a:ext cx="5486400" cy="2438400"/>
                    </a:xfrm>
                    <a:prstGeom prst="rect"/>
                  </pic:spPr>
                </pic:pic>
              </a:graphicData>
            </a:graphic>
          </wp:inline>
        </w:drawing>
      </w:r>
    </w:p>
    <w:p>
      <w:pPr>
        <w:spacing w:after="200"/>
        <w:jc w:val="center"/>
      </w:pPr>
      <w:r>
        <w:rPr>
          <w:i/>
          <w:color w:val="555555"/>
          <w:sz w:val="18"/>
        </w:rPr>
        <w:t>Figure: Risk Score distribution for rejected applicants. Median = 650 (Fair band). 62.2% scored below 670, but 31.6% had Good scores — showing credit score alone did not fully determine rejection.</w:t>
      </w:r>
    </w:p>
    <w:tbl>
      <w:tblPr>
        <w:tblStyle w:val="TableGrid"/>
        <w:tblW w:type="auto" w:w="0"/>
        <w:tblLook w:firstColumn="1" w:firstRow="1" w:lastColumn="0" w:lastRow="0" w:noHBand="0" w:noVBand="1" w:val="04A0"/>
      </w:tblPr>
      <w:tblGrid>
        <w:gridCol w:w="8640"/>
      </w:tblGrid>
      <w:tr>
        <w:tc>
          <w:tcPr>
            <w:tcW w:type="dxa" w:w="8640"/>
            <w:shd w:val="clear" w:color="auto" w:fill="1A5276"/>
          </w:tcPr>
          <w:p>
            <w:pPr>
              <w:spacing w:before="80" w:after="80"/>
            </w:pPr>
            <w:r>
              <w:rPr>
                <w:b/>
                <w:color w:val="FFFFFF"/>
                <w:sz w:val="18"/>
              </w:rPr>
              <w:t xml:space="preserve">CREDIT SCORE FINDING:  </w:t>
            </w:r>
            <w:r>
              <w:rPr>
                <w:color w:val="FFFFFF"/>
                <w:sz w:val="18"/>
              </w:rPr>
              <w:t>Median risk score of rejected applicants: 650 (Fair band).  62.2% scored below 670 (Very Poor or Fair).  Notably, 31.6% had "Good" credit scores (670-739) yet were still rejected — likely due to short employment history or other combined risk factors.</w:t>
            </w:r>
          </w:p>
        </w:tc>
      </w:tr>
    </w:tbl>
    <w:p>
      <w:pPr>
        <w:spacing w:after="80"/>
      </w:pPr>
    </w:p>
    <w:p>
      <w:pPr>
        <w:pStyle w:val="Heading2"/>
        <w:spacing w:before="240" w:after="120"/>
      </w:pPr>
      <w:r>
        <w:rPr>
          <w:color w:val="1F497D"/>
        </w:rPr>
        <w:t>3.5.5  Loan Amount: Not the Driver</w:t>
      </w:r>
    </w:p>
    <w:p>
      <w:pPr>
        <w:spacing w:after="120" w:before="40"/>
      </w:pPr>
      <w:r>
        <w:rPr>
          <w:b w:val="0"/>
          <w:i w:val="0"/>
        </w:rPr>
        <w:t>One might assume that rejected applicants were asking for too much money. The data shows the opposite: rejected applicants actually requested slightly less than accepted ones. The median requested amount for rejected applicants was $10,000, versus $12,000 for accepted applicants. This confirms that the amount of money requested was not a significant factor in LendingClub's rejection decisions — creditworthiness and employment stability mattered far more.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6E4F0"/>
          </w:tcPr>
          <w:p>
            <w:r>
              <w:rPr>
                <w:b/>
                <w:sz w:val="18"/>
              </w:rPr>
              <w:t>Accepted Median Loan Amount</w:t>
            </w:r>
          </w:p>
        </w:tc>
        <w:tc>
          <w:tcPr>
            <w:tcW w:type="dxa" w:w="2160"/>
          </w:tcPr>
          <w:p>
            <w:r>
              <w:rPr>
                <w:b/>
                <w:color w:val="C0392B"/>
                <w:sz w:val="18"/>
              </w:rPr>
              <w:t>$12,000</w:t>
            </w:r>
          </w:p>
        </w:tc>
        <w:tc>
          <w:tcPr>
            <w:tcW w:type="dxa" w:w="2160"/>
            <w:shd w:val="clear" w:color="auto" w:fill="D6E4F0"/>
          </w:tcPr>
          <w:p>
            <w:r>
              <w:rPr>
                <w:b/>
                <w:sz w:val="18"/>
              </w:rPr>
              <w:t>Rejected Median Loan Amount</w:t>
            </w:r>
          </w:p>
        </w:tc>
        <w:tc>
          <w:tcPr>
            <w:tcW w:type="dxa" w:w="2160"/>
          </w:tcPr>
          <w:p>
            <w:r>
              <w:rPr>
                <w:b/>
                <w:color w:val="C0392B"/>
                <w:sz w:val="18"/>
              </w:rPr>
              <w:t>$10,000</w:t>
            </w:r>
          </w:p>
        </w:tc>
      </w:tr>
      <w:tr>
        <w:tc>
          <w:tcPr>
            <w:tcW w:type="dxa" w:w="2160"/>
            <w:shd w:val="clear" w:color="auto" w:fill="D6E4F0"/>
          </w:tcPr>
          <w:p>
            <w:r>
              <w:rPr>
                <w:b/>
                <w:sz w:val="18"/>
              </w:rPr>
              <w:t>Accepted Mean Loan Amount</w:t>
            </w:r>
          </w:p>
        </w:tc>
        <w:tc>
          <w:tcPr>
            <w:tcW w:type="dxa" w:w="2160"/>
          </w:tcPr>
          <w:p>
            <w:r>
              <w:rPr>
                <w:b/>
                <w:color w:val="C0392B"/>
                <w:sz w:val="18"/>
              </w:rPr>
              <w:t>$14,409</w:t>
            </w:r>
          </w:p>
        </w:tc>
        <w:tc>
          <w:tcPr>
            <w:tcW w:type="dxa" w:w="2160"/>
            <w:shd w:val="clear" w:color="auto" w:fill="D6E4F0"/>
          </w:tcPr>
          <w:p>
            <w:r>
              <w:rPr>
                <w:b/>
                <w:sz w:val="18"/>
              </w:rPr>
              <w:t>Rejected Mean Loan Amount</w:t>
            </w:r>
          </w:p>
        </w:tc>
        <w:tc>
          <w:tcPr>
            <w:tcW w:type="dxa" w:w="2160"/>
          </w:tcPr>
          <w:p>
            <w:r>
              <w:rPr>
                <w:b/>
                <w:color w:val="C0392B"/>
                <w:sz w:val="18"/>
              </w:rPr>
              <w:t>$12,219</w:t>
            </w:r>
          </w:p>
        </w:tc>
      </w:tr>
    </w:tbl>
    <w:p>
      <w:pPr>
        <w:spacing w:after="120"/>
      </w:pPr>
    </w:p>
    <w:p>
      <w:pPr>
        <w:pStyle w:val="Heading2"/>
        <w:spacing w:before="240" w:after="120"/>
      </w:pPr>
      <w:r>
        <w:rPr>
          <w:color w:val="1F497D"/>
        </w:rPr>
        <w:t>3.5.6  Rejection Rate Growth Over Time</w:t>
      </w:r>
    </w:p>
    <w:p>
      <w:pPr>
        <w:spacing w:after="120" w:before="40"/>
      </w:pPr>
      <w:r>
        <w:rPr>
          <w:b w:val="0"/>
          <w:i w:val="0"/>
        </w:rPr>
        <w:t>Rejection volumes grew dramatically over the 2007-2018 period, particularly after 2015. From just 5,274 rejections in 2007, LendingClub was rejecting nearly 9.5 million applications in 2018 alone. This reflects both the platform's massive growth in popularity and its increasingly strict underwriting standards — especially after a high-profile executive scandal in 2016 that led to investor scrutiny of loan quality.</w:t>
      </w:r>
    </w:p>
    <w:tbl>
      <w:tblPr>
        <w:tblStyle w:val="TableGrid"/>
        <w:tblW w:type="auto" w:w="0"/>
        <w:jc w:val="center"/>
        <w:tblLook w:firstColumn="1" w:firstRow="1" w:lastColumn="0" w:lastRow="0" w:noHBand="0" w:noVBand="1" w:val="04A0"/>
      </w:tblPr>
      <w:tblGrid>
        <w:gridCol w:w="2880"/>
        <w:gridCol w:w="2880"/>
        <w:gridCol w:w="2880"/>
      </w:tblGrid>
      <w:tr>
        <w:tc>
          <w:tcPr>
            <w:tcW w:type="dxa" w:w="1296"/>
            <w:shd w:val="clear" w:color="auto" w:fill="1F497D"/>
            <w:vAlign w:val="center"/>
          </w:tcPr>
          <w:p>
            <w:pPr>
              <w:jc w:val="center"/>
            </w:pPr>
            <w:r>
              <w:rPr>
                <w:b/>
                <w:color w:val="FFFFFF"/>
                <w:sz w:val="18"/>
              </w:rPr>
              <w:t>Year</w:t>
            </w:r>
          </w:p>
        </w:tc>
        <w:tc>
          <w:tcPr>
            <w:tcW w:type="dxa" w:w="3024"/>
            <w:shd w:val="clear" w:color="auto" w:fill="1F497D"/>
            <w:vAlign w:val="center"/>
          </w:tcPr>
          <w:p>
            <w:pPr>
              <w:jc w:val="center"/>
            </w:pPr>
            <w:r>
              <w:rPr>
                <w:b/>
                <w:color w:val="FFFFFF"/>
                <w:sz w:val="18"/>
              </w:rPr>
              <w:t>Rejected Applications</w:t>
            </w:r>
          </w:p>
        </w:tc>
        <w:tc>
          <w:tcPr>
            <w:tcW w:type="dxa" w:w="5040"/>
            <w:shd w:val="clear" w:color="auto" w:fill="1F497D"/>
            <w:vAlign w:val="center"/>
          </w:tcPr>
          <w:p>
            <w:pPr>
              <w:jc w:val="center"/>
            </w:pPr>
            <w:r>
              <w:rPr>
                <w:b/>
                <w:color w:val="FFFFFF"/>
                <w:sz w:val="18"/>
              </w:rPr>
              <w:t>Change vs Prior Year</w:t>
            </w:r>
          </w:p>
        </w:tc>
      </w:tr>
      <w:tr>
        <w:tc>
          <w:tcPr>
            <w:tcW w:type="dxa" w:w="1296"/>
          </w:tcPr>
          <w:p/>
        </w:tc>
        <w:tc>
          <w:tcPr>
            <w:tcW w:type="dxa" w:w="3024"/>
          </w:tcPr>
          <w:p/>
        </w:tc>
        <w:tc>
          <w:tcPr>
            <w:tcW w:type="dxa" w:w="5040"/>
          </w:tcPr>
          <w:p/>
        </w:tc>
      </w:tr>
      <w:tr>
        <w:tc>
          <w:tcPr>
            <w:tcW w:type="dxa" w:w="1296"/>
          </w:tcPr>
          <w:p/>
        </w:tc>
        <w:tc>
          <w:tcPr>
            <w:tcW w:type="dxa" w:w="3024"/>
          </w:tcPr>
          <w:p/>
        </w:tc>
        <w:tc>
          <w:tcPr>
            <w:tcW w:type="dxa" w:w="5040"/>
          </w:tcPr>
          <w:p/>
        </w:tc>
      </w:tr>
      <w:tr>
        <w:tc>
          <w:tcPr>
            <w:tcW w:type="dxa" w:w="1296"/>
          </w:tcPr>
          <w:p/>
        </w:tc>
        <w:tc>
          <w:tcPr>
            <w:tcW w:type="dxa" w:w="3024"/>
          </w:tcPr>
          <w:p/>
        </w:tc>
        <w:tc>
          <w:tcPr>
            <w:tcW w:type="dxa" w:w="5040"/>
          </w:tcPr>
          <w:p/>
        </w:tc>
      </w:tr>
      <w:tr>
        <w:tc>
          <w:tcPr>
            <w:tcW w:type="dxa" w:w="1296"/>
          </w:tcPr>
          <w:p/>
        </w:tc>
        <w:tc>
          <w:tcPr>
            <w:tcW w:type="dxa" w:w="3024"/>
          </w:tcPr>
          <w:p/>
        </w:tc>
        <w:tc>
          <w:tcPr>
            <w:tcW w:type="dxa" w:w="5040"/>
          </w:tcPr>
          <w:p/>
        </w:tc>
      </w:tr>
      <w:tr>
        <w:tc>
          <w:tcPr>
            <w:tcW w:type="dxa" w:w="1296"/>
          </w:tcPr>
          <w:p/>
        </w:tc>
        <w:tc>
          <w:tcPr>
            <w:tcW w:type="dxa" w:w="3024"/>
          </w:tcPr>
          <w:p/>
        </w:tc>
        <w:tc>
          <w:tcPr>
            <w:tcW w:type="dxa" w:w="5040"/>
          </w:tcPr>
          <w:p/>
        </w:tc>
      </w:tr>
      <w:tr>
        <w:tc>
          <w:tcPr>
            <w:tcW w:type="dxa" w:w="1296"/>
          </w:tcPr>
          <w:p/>
        </w:tc>
        <w:tc>
          <w:tcPr>
            <w:tcW w:type="dxa" w:w="3024"/>
          </w:tcPr>
          <w:p/>
        </w:tc>
        <w:tc>
          <w:tcPr>
            <w:tcW w:type="dxa" w:w="5040"/>
          </w:tcPr>
          <w:p/>
        </w:tc>
      </w:tr>
      <w:tr>
        <w:tc>
          <w:tcPr>
            <w:tcW w:type="dxa" w:w="1296"/>
          </w:tcPr>
          <w:p/>
        </w:tc>
        <w:tc>
          <w:tcPr>
            <w:tcW w:type="dxa" w:w="3024"/>
          </w:tcPr>
          <w:p/>
        </w:tc>
        <w:tc>
          <w:tcPr>
            <w:tcW w:type="dxa" w:w="5040"/>
          </w:tcPr>
          <w:p/>
        </w:tc>
      </w:tr>
      <w:tr>
        <w:tc>
          <w:tcPr>
            <w:tcW w:type="dxa" w:w="1296"/>
            <w:vAlign w:val="center"/>
          </w:tcPr>
          <w:p>
            <w:pPr>
              <w:jc w:val="center"/>
            </w:pPr>
            <w:r>
              <w:rPr>
                <w:sz w:val="18"/>
              </w:rPr>
              <w:t>2007</w:t>
            </w:r>
          </w:p>
        </w:tc>
        <w:tc>
          <w:tcPr>
            <w:tcW w:type="dxa" w:w="3024"/>
            <w:vAlign w:val="center"/>
          </w:tcPr>
          <w:p>
            <w:pPr>
              <w:jc w:val="center"/>
            </w:pPr>
            <w:r>
              <w:rPr>
                <w:sz w:val="18"/>
              </w:rPr>
              <w:t>5,274</w:t>
            </w:r>
          </w:p>
        </w:tc>
        <w:tc>
          <w:tcPr>
            <w:tcW w:type="dxa" w:w="5040"/>
            <w:vAlign w:val="center"/>
          </w:tcPr>
          <w:p>
            <w:pPr>
              <w:jc w:val="center"/>
            </w:pPr>
            <w:r>
              <w:rPr>
                <w:sz w:val="18"/>
              </w:rPr>
              <w:t>—</w:t>
            </w:r>
          </w:p>
        </w:tc>
      </w:tr>
      <w:tr>
        <w:tc>
          <w:tcPr>
            <w:tcW w:type="dxa" w:w="1296"/>
            <w:shd w:val="clear" w:color="auto" w:fill="EBF2FA"/>
            <w:vAlign w:val="center"/>
          </w:tcPr>
          <w:p>
            <w:pPr>
              <w:jc w:val="center"/>
            </w:pPr>
            <w:r>
              <w:rPr>
                <w:sz w:val="18"/>
              </w:rPr>
              <w:t>2010</w:t>
            </w:r>
          </w:p>
        </w:tc>
        <w:tc>
          <w:tcPr>
            <w:tcW w:type="dxa" w:w="3024"/>
            <w:shd w:val="clear" w:color="auto" w:fill="EBF2FA"/>
            <w:vAlign w:val="center"/>
          </w:tcPr>
          <w:p>
            <w:pPr>
              <w:jc w:val="center"/>
            </w:pPr>
            <w:r>
              <w:rPr>
                <w:sz w:val="18"/>
              </w:rPr>
              <w:t>112,561</w:t>
            </w:r>
          </w:p>
        </w:tc>
        <w:tc>
          <w:tcPr>
            <w:tcW w:type="dxa" w:w="5040"/>
            <w:shd w:val="clear" w:color="auto" w:fill="EBF2FA"/>
            <w:vAlign w:val="center"/>
          </w:tcPr>
          <w:p>
            <w:pPr>
              <w:jc w:val="center"/>
            </w:pPr>
            <w:r>
              <w:rPr>
                <w:sz w:val="18"/>
              </w:rPr>
              <w:t>+~4x from 2009</w:t>
            </w:r>
          </w:p>
        </w:tc>
      </w:tr>
      <w:tr>
        <w:tc>
          <w:tcPr>
            <w:tcW w:type="dxa" w:w="1296"/>
            <w:vAlign w:val="center"/>
          </w:tcPr>
          <w:p>
            <w:pPr>
              <w:jc w:val="center"/>
            </w:pPr>
            <w:r>
              <w:rPr>
                <w:sz w:val="18"/>
              </w:rPr>
              <w:t>2013</w:t>
            </w:r>
          </w:p>
        </w:tc>
        <w:tc>
          <w:tcPr>
            <w:tcW w:type="dxa" w:w="3024"/>
            <w:vAlign w:val="center"/>
          </w:tcPr>
          <w:p>
            <w:pPr>
              <w:jc w:val="center"/>
            </w:pPr>
            <w:r>
              <w:rPr>
                <w:sz w:val="18"/>
              </w:rPr>
              <w:t>760,942</w:t>
            </w:r>
          </w:p>
        </w:tc>
        <w:tc>
          <w:tcPr>
            <w:tcW w:type="dxa" w:w="5040"/>
            <w:vAlign w:val="center"/>
          </w:tcPr>
          <w:p>
            <w:pPr>
              <w:jc w:val="center"/>
            </w:pPr>
            <w:r>
              <w:rPr>
                <w:sz w:val="18"/>
              </w:rPr>
              <w:t>Peak early growth</w:t>
            </w:r>
          </w:p>
        </w:tc>
      </w:tr>
      <w:tr>
        <w:tc>
          <w:tcPr>
            <w:tcW w:type="dxa" w:w="1296"/>
            <w:shd w:val="clear" w:color="auto" w:fill="EBF2FA"/>
            <w:vAlign w:val="center"/>
          </w:tcPr>
          <w:p>
            <w:pPr>
              <w:jc w:val="center"/>
            </w:pPr>
            <w:r>
              <w:rPr>
                <w:sz w:val="18"/>
              </w:rPr>
              <w:t>2015</w:t>
            </w:r>
          </w:p>
        </w:tc>
        <w:tc>
          <w:tcPr>
            <w:tcW w:type="dxa" w:w="3024"/>
            <w:shd w:val="clear" w:color="auto" w:fill="EBF2FA"/>
            <w:vAlign w:val="center"/>
          </w:tcPr>
          <w:p>
            <w:pPr>
              <w:jc w:val="center"/>
            </w:pPr>
            <w:r>
              <w:rPr>
                <w:sz w:val="18"/>
              </w:rPr>
              <w:t>2,859,379</w:t>
            </w:r>
          </w:p>
        </w:tc>
        <w:tc>
          <w:tcPr>
            <w:tcW w:type="dxa" w:w="5040"/>
            <w:shd w:val="clear" w:color="auto" w:fill="EBF2FA"/>
            <w:vAlign w:val="center"/>
          </w:tcPr>
          <w:p>
            <w:pPr>
              <w:jc w:val="center"/>
            </w:pPr>
            <w:r>
              <w:rPr>
                <w:sz w:val="18"/>
              </w:rPr>
              <w:t>+48% from 2014</w:t>
            </w:r>
          </w:p>
        </w:tc>
      </w:tr>
      <w:tr>
        <w:tc>
          <w:tcPr>
            <w:tcW w:type="dxa" w:w="1296"/>
            <w:vAlign w:val="center"/>
          </w:tcPr>
          <w:p>
            <w:pPr>
              <w:jc w:val="center"/>
            </w:pPr>
            <w:r>
              <w:rPr>
                <w:sz w:val="18"/>
              </w:rPr>
              <w:t>2016</w:t>
            </w:r>
          </w:p>
        </w:tc>
        <w:tc>
          <w:tcPr>
            <w:tcW w:type="dxa" w:w="3024"/>
            <w:vAlign w:val="center"/>
          </w:tcPr>
          <w:p>
            <w:pPr>
              <w:jc w:val="center"/>
            </w:pPr>
            <w:r>
              <w:rPr>
                <w:sz w:val="18"/>
              </w:rPr>
              <w:t>4,769,874</w:t>
            </w:r>
          </w:p>
        </w:tc>
        <w:tc>
          <w:tcPr>
            <w:tcW w:type="dxa" w:w="5040"/>
            <w:vAlign w:val="center"/>
          </w:tcPr>
          <w:p>
            <w:pPr>
              <w:jc w:val="center"/>
            </w:pPr>
            <w:r>
              <w:rPr>
                <w:sz w:val="18"/>
              </w:rPr>
              <w:t>+67% — post-scandal tightening</w:t>
            </w:r>
          </w:p>
        </w:tc>
      </w:tr>
      <w:tr>
        <w:tc>
          <w:tcPr>
            <w:tcW w:type="dxa" w:w="1296"/>
            <w:shd w:val="clear" w:color="auto" w:fill="EBF2FA"/>
            <w:vAlign w:val="center"/>
          </w:tcPr>
          <w:p>
            <w:pPr>
              <w:jc w:val="center"/>
            </w:pPr>
            <w:r>
              <w:rPr>
                <w:sz w:val="18"/>
              </w:rPr>
              <w:t>2017</w:t>
            </w:r>
          </w:p>
        </w:tc>
        <w:tc>
          <w:tcPr>
            <w:tcW w:type="dxa" w:w="3024"/>
            <w:shd w:val="clear" w:color="auto" w:fill="EBF2FA"/>
            <w:vAlign w:val="center"/>
          </w:tcPr>
          <w:p>
            <w:pPr>
              <w:jc w:val="center"/>
            </w:pPr>
            <w:r>
              <w:rPr>
                <w:sz w:val="18"/>
              </w:rPr>
              <w:t>7,072,573</w:t>
            </w:r>
          </w:p>
        </w:tc>
        <w:tc>
          <w:tcPr>
            <w:tcW w:type="dxa" w:w="5040"/>
            <w:shd w:val="clear" w:color="auto" w:fill="EBF2FA"/>
            <w:vAlign w:val="center"/>
          </w:tcPr>
          <w:p>
            <w:pPr>
              <w:jc w:val="center"/>
            </w:pPr>
            <w:r>
              <w:rPr>
                <w:sz w:val="18"/>
              </w:rPr>
              <w:t>+48%</w:t>
            </w:r>
          </w:p>
        </w:tc>
      </w:tr>
      <w:tr>
        <w:tc>
          <w:tcPr>
            <w:tcW w:type="dxa" w:w="1296"/>
            <w:vAlign w:val="center"/>
          </w:tcPr>
          <w:p>
            <w:pPr>
              <w:jc w:val="center"/>
            </w:pPr>
            <w:r>
              <w:rPr>
                <w:sz w:val="18"/>
              </w:rPr>
              <w:t>2018</w:t>
            </w:r>
          </w:p>
        </w:tc>
        <w:tc>
          <w:tcPr>
            <w:tcW w:type="dxa" w:w="3024"/>
            <w:vAlign w:val="center"/>
          </w:tcPr>
          <w:p>
            <w:pPr>
              <w:jc w:val="center"/>
            </w:pPr>
            <w:r>
              <w:rPr>
                <w:sz w:val="18"/>
              </w:rPr>
              <w:t>9,496,782</w:t>
            </w:r>
          </w:p>
        </w:tc>
        <w:tc>
          <w:tcPr>
            <w:tcW w:type="dxa" w:w="5040"/>
            <w:vAlign w:val="center"/>
          </w:tcPr>
          <w:p>
            <w:pPr>
              <w:jc w:val="center"/>
            </w:pPr>
            <w:r>
              <w:rPr>
                <w:sz w:val="18"/>
              </w:rPr>
              <w:t>+34% — highest year on record</w:t>
            </w:r>
          </w:p>
        </w:tc>
      </w:tr>
    </w:tbl>
    <w:p>
      <w:pPr>
        <w:spacing w:after="120"/>
      </w:pPr>
    </w:p>
    <w:p>
      <w:pPr>
        <w:pStyle w:val="Heading2"/>
        <w:spacing w:before="240" w:after="120"/>
      </w:pPr>
      <w:r>
        <w:rPr>
          <w:color w:val="1F497D"/>
        </w:rPr>
        <w:t>3.5.7  What This Means for Our Model</w:t>
      </w:r>
    </w:p>
    <w:p>
      <w:pPr>
        <w:spacing w:after="120" w:before="40"/>
      </w:pPr>
      <w:r>
        <w:rPr>
          <w:b w:val="0"/>
          <w:i w:val="0"/>
        </w:rPr>
        <w:t>Our machine learning model operates as a second layer of risk screening on top of LendingClub's rules-based system. The first layer rejects 92.4% of all applicants based on hard criteria — primarily credit score below a threshold, very short employment history, or extreme DTI. The applicants our model sees have already cleared these hurdles.</w:t>
      </w:r>
    </w:p>
    <w:p>
      <w:pPr>
        <w:spacing w:after="120" w:before="40"/>
      </w:pPr>
      <w:r>
        <w:rPr>
          <w:b w:val="0"/>
          <w:i w:val="0"/>
        </w:rPr>
        <w:t>Yet even within this pre-screened population, 20% of loans still default. This is the fundamental challenge of credit risk: simple rules can filter out the obviously risky, but cannot distinguish between the moderately-risky and the safe among those who look similar on paper. Machine learning finds the subtle, non-linear combinations of factors that separate these groups — which is exactly what our XGBoost model does.</w:t>
      </w:r>
    </w:p>
    <w:tbl>
      <w:tblPr>
        <w:tblStyle w:val="TableGrid"/>
        <w:tblW w:type="auto" w:w="0"/>
        <w:tblLook w:firstColumn="1" w:firstRow="1" w:lastColumn="0" w:lastRow="0" w:noHBand="0" w:noVBand="1" w:val="04A0"/>
      </w:tblPr>
      <w:tblGrid>
        <w:gridCol w:w="8640"/>
      </w:tblGrid>
      <w:tr>
        <w:tc>
          <w:tcPr>
            <w:tcW w:type="dxa" w:w="8640"/>
            <w:shd w:val="clear" w:color="auto" w:fill="1A5276"/>
          </w:tcPr>
          <w:p>
            <w:pPr>
              <w:spacing w:before="80" w:after="80"/>
            </w:pPr>
            <w:r>
              <w:rPr>
                <w:b/>
                <w:color w:val="FFFFFF"/>
                <w:sz w:val="18"/>
              </w:rPr>
              <w:t xml:space="preserve">SYSTEM DESIGN:  </w:t>
            </w:r>
            <w:r>
              <w:rPr>
                <w:color w:val="FFFFFF"/>
                <w:sz w:val="18"/>
              </w:rPr>
              <w:t>Two-layer risk system: (1) LendingClub's rules filter out 27.6M high-risk applications. (2) Our XGBoost model catches 88.8% of the remaining defaults among the accepted applicants. Together, these two layers reduce the effective default rate far below what either could achieve alone.</w:t>
            </w:r>
          </w:p>
        </w:tc>
      </w:tr>
    </w:tbl>
    <w:p>
      <w:pPr>
        <w:spacing w:after="80"/>
      </w:pPr>
    </w:p>
    <w:p>
      <w:r>
        <w:br w:type="page"/>
      </w:r>
    </w:p>
    <w:p>
      <w:pPr>
        <w:pStyle w:val="Heading1"/>
        <w:spacing w:before="240" w:after="120"/>
      </w:pPr>
      <w:r>
        <w:rPr>
          <w:color w:val="0D2B55"/>
        </w:rPr>
        <w:t>4. Project Objectives &amp; Business Problem</w:t>
      </w:r>
    </w:p>
    <w:p>
      <w:pPr>
        <w:pStyle w:val="Heading2"/>
        <w:spacing w:before="240" w:after="120"/>
      </w:pPr>
      <w:r>
        <w:rPr>
          <w:color w:val="1F497D"/>
        </w:rPr>
        <w:t>4.1  The Business Question</w:t>
      </w:r>
    </w:p>
    <w:p>
      <w:pPr>
        <w:spacing w:after="120" w:before="40"/>
      </w:pPr>
      <w:r>
        <w:rPr>
          <w:b w:val="0"/>
          <w:i w:val="0"/>
        </w:rPr>
        <w:t>Before any loan is funded, LendingClub needs to assess the risk that the borrower will not repay. The core question is:</w:t>
      </w:r>
    </w:p>
    <w:tbl>
      <w:tblPr>
        <w:tblStyle w:val="TableGrid"/>
        <w:tblW w:type="auto" w:w="0"/>
        <w:tblLook w:firstColumn="1" w:firstRow="1" w:lastColumn="0" w:lastRow="0" w:noHBand="0" w:noVBand="1" w:val="04A0"/>
      </w:tblPr>
      <w:tblGrid>
        <w:gridCol w:w="8640"/>
      </w:tblGrid>
      <w:tr>
        <w:tc>
          <w:tcPr>
            <w:tcW w:type="dxa" w:w="8640"/>
            <w:shd w:val="clear" w:color="auto" w:fill="922B21"/>
          </w:tcPr>
          <w:p>
            <w:pPr>
              <w:spacing w:before="80" w:after="80"/>
            </w:pPr>
            <w:r>
              <w:rPr>
                <w:b/>
                <w:color w:val="FFFFFF"/>
                <w:sz w:val="18"/>
              </w:rPr>
              <w:t xml:space="preserve">CORE QUESTION:  </w:t>
            </w:r>
            <w:r>
              <w:rPr>
                <w:color w:val="FFFFFF"/>
                <w:sz w:val="18"/>
              </w:rPr>
              <w:t>"Given what we know about an applicant at the time of application, what is the probability that this loan will default?"</w:t>
            </w:r>
          </w:p>
        </w:tc>
      </w:tr>
    </w:tbl>
    <w:p>
      <w:pPr>
        <w:spacing w:after="80"/>
      </w:pPr>
    </w:p>
    <w:p>
      <w:pPr>
        <w:pStyle w:val="Heading2"/>
        <w:spacing w:before="240" w:after="120"/>
      </w:pPr>
      <w:r>
        <w:rPr>
          <w:color w:val="1F497D"/>
        </w:rPr>
        <w:t>4.2  Business Constraint</w:t>
      </w:r>
    </w:p>
    <w:p>
      <w:pPr>
        <w:spacing w:after="120" w:before="40"/>
      </w:pPr>
      <w:r>
        <w:rPr>
          <w:b w:val="0"/>
          <w:i w:val="0"/>
        </w:rPr>
        <w:t>The business stakeholder defined the following constraint:</w:t>
      </w:r>
    </w:p>
    <w:p>
      <w:pPr>
        <w:pStyle w:val="ListBullet"/>
        <w:spacing w:after="60" w:before="40"/>
      </w:pPr>
      <w:r>
        <w:rPr>
          <w:b/>
        </w:rPr>
        <w:t xml:space="preserve">Reduce defaults by 30%: </w:t>
      </w:r>
      <w:r>
        <w:t>The model must catch significantly more defaults than the current system.</w:t>
      </w:r>
    </w:p>
    <w:p>
      <w:pPr>
        <w:pStyle w:val="ListBullet"/>
        <w:spacing w:after="60" w:before="40"/>
      </w:pPr>
      <w:r>
        <w:rPr>
          <w:b/>
        </w:rPr>
        <w:t xml:space="preserve">Reject at most 10% more good borrowers: </w:t>
      </w:r>
      <w:r>
        <w:t>Every rejected good borrower is lost revenue. The model must be selective, not indiscriminate.</w:t>
      </w:r>
    </w:p>
    <w:p>
      <w:pPr>
        <w:spacing w:after="160" w:before="40"/>
      </w:pPr>
      <w:r>
        <w:rPr>
          <w:b w:val="0"/>
          <w:i w:val="0"/>
        </w:rPr>
        <w:br/>
        <w:t>As the analysis progressed, this constraint was re-evaluated using F2-score optimisation (explained in Section 11), which ultimately delivered a 64% reduction in default rate among approved loans — far exceeding the original 30% target on that measure.</w:t>
      </w:r>
    </w:p>
    <w:p>
      <w:pPr>
        <w:pStyle w:val="Heading2"/>
        <w:spacing w:before="240" w:after="120"/>
      </w:pPr>
      <w:r>
        <w:rPr>
          <w:color w:val="1F497D"/>
        </w:rPr>
        <w:t>4.3  Hypotheses</w:t>
      </w:r>
    </w:p>
    <w:p>
      <w:pPr>
        <w:spacing w:after="120" w:before="40"/>
      </w:pPr>
      <w:r>
        <w:rPr>
          <w:b w:val="0"/>
          <w:i w:val="0"/>
        </w:rPr>
        <w:t>Five hypotheses were defined at the start of the project, based on domain knowledge about credit risk. Each hypothesis was tested statistically in the EDA phase:</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1F497D"/>
            <w:vAlign w:val="center"/>
          </w:tcPr>
          <w:p>
            <w:pPr>
              <w:jc w:val="center"/>
            </w:pPr>
            <w:r>
              <w:rPr>
                <w:b/>
                <w:color w:val="FFFFFF"/>
                <w:sz w:val="18"/>
              </w:rPr>
              <w:t>#</w:t>
            </w:r>
          </w:p>
        </w:tc>
        <w:tc>
          <w:tcPr>
            <w:tcW w:type="dxa" w:w="4032"/>
            <w:shd w:val="clear" w:color="auto" w:fill="1F497D"/>
            <w:vAlign w:val="center"/>
          </w:tcPr>
          <w:p>
            <w:pPr>
              <w:jc w:val="center"/>
            </w:pPr>
            <w:r>
              <w:rPr>
                <w:b/>
                <w:color w:val="FFFFFF"/>
                <w:sz w:val="18"/>
              </w:rPr>
              <w:t>Hypothesis</w:t>
            </w:r>
          </w:p>
        </w:tc>
        <w:tc>
          <w:tcPr>
            <w:tcW w:type="dxa" w:w="4752"/>
            <w:shd w:val="clear" w:color="auto" w:fill="1F497D"/>
            <w:vAlign w:val="center"/>
          </w:tcPr>
          <w:p>
            <w:pPr>
              <w:jc w:val="center"/>
            </w:pPr>
            <w:r>
              <w:rPr>
                <w:b/>
                <w:color w:val="FFFFFF"/>
                <w:sz w:val="18"/>
              </w:rPr>
              <w:t>Intuition</w:t>
            </w:r>
          </w:p>
        </w:tc>
      </w:tr>
      <w:tr>
        <w:tc>
          <w:tcPr>
            <w:tcW w:type="dxa" w:w="576"/>
          </w:tcPr>
          <w:p/>
        </w:tc>
        <w:tc>
          <w:tcPr>
            <w:tcW w:type="dxa" w:w="4032"/>
          </w:tcPr>
          <w:p/>
        </w:tc>
        <w:tc>
          <w:tcPr>
            <w:tcW w:type="dxa" w:w="4752"/>
          </w:tcPr>
          <w:p/>
        </w:tc>
      </w:tr>
      <w:tr>
        <w:tc>
          <w:tcPr>
            <w:tcW w:type="dxa" w:w="576"/>
          </w:tcPr>
          <w:p/>
        </w:tc>
        <w:tc>
          <w:tcPr>
            <w:tcW w:type="dxa" w:w="4032"/>
          </w:tcPr>
          <w:p/>
        </w:tc>
        <w:tc>
          <w:tcPr>
            <w:tcW w:type="dxa" w:w="4752"/>
          </w:tcPr>
          <w:p/>
        </w:tc>
      </w:tr>
      <w:tr>
        <w:tc>
          <w:tcPr>
            <w:tcW w:type="dxa" w:w="576"/>
          </w:tcPr>
          <w:p/>
        </w:tc>
        <w:tc>
          <w:tcPr>
            <w:tcW w:type="dxa" w:w="4032"/>
          </w:tcPr>
          <w:p/>
        </w:tc>
        <w:tc>
          <w:tcPr>
            <w:tcW w:type="dxa" w:w="4752"/>
          </w:tcPr>
          <w:p/>
        </w:tc>
      </w:tr>
      <w:tr>
        <w:tc>
          <w:tcPr>
            <w:tcW w:type="dxa" w:w="576"/>
          </w:tcPr>
          <w:p/>
        </w:tc>
        <w:tc>
          <w:tcPr>
            <w:tcW w:type="dxa" w:w="4032"/>
          </w:tcPr>
          <w:p/>
        </w:tc>
        <w:tc>
          <w:tcPr>
            <w:tcW w:type="dxa" w:w="4752"/>
          </w:tcPr>
          <w:p/>
        </w:tc>
      </w:tr>
      <w:tr>
        <w:tc>
          <w:tcPr>
            <w:tcW w:type="dxa" w:w="576"/>
          </w:tcPr>
          <w:p/>
        </w:tc>
        <w:tc>
          <w:tcPr>
            <w:tcW w:type="dxa" w:w="4032"/>
          </w:tcPr>
          <w:p/>
        </w:tc>
        <w:tc>
          <w:tcPr>
            <w:tcW w:type="dxa" w:w="4752"/>
          </w:tcPr>
          <w:p/>
        </w:tc>
      </w:tr>
      <w:tr>
        <w:tc>
          <w:tcPr>
            <w:tcW w:type="dxa" w:w="576"/>
            <w:vAlign w:val="center"/>
          </w:tcPr>
          <w:p>
            <w:pPr>
              <w:jc w:val="center"/>
            </w:pPr>
            <w:r>
              <w:rPr>
                <w:sz w:val="18"/>
              </w:rPr>
              <w:t>H1</w:t>
            </w:r>
          </w:p>
        </w:tc>
        <w:tc>
          <w:tcPr>
            <w:tcW w:type="dxa" w:w="4032"/>
            <w:vAlign w:val="center"/>
          </w:tcPr>
          <w:p>
            <w:pPr>
              <w:jc w:val="center"/>
            </w:pPr>
            <w:r>
              <w:rPr>
                <w:sz w:val="18"/>
              </w:rPr>
              <w:t>Higher Debt-to-Income ratio → more defaults</w:t>
            </w:r>
          </w:p>
        </w:tc>
        <w:tc>
          <w:tcPr>
            <w:tcW w:type="dxa" w:w="4752"/>
            <w:vAlign w:val="center"/>
          </w:tcPr>
          <w:p>
            <w:pPr>
              <w:jc w:val="center"/>
            </w:pPr>
            <w:r>
              <w:rPr>
                <w:sz w:val="18"/>
              </w:rPr>
              <w:t>Borrowers stretched thin financially are more likely to miss payments</w:t>
            </w:r>
          </w:p>
        </w:tc>
      </w:tr>
      <w:tr>
        <w:tc>
          <w:tcPr>
            <w:tcW w:type="dxa" w:w="576"/>
            <w:shd w:val="clear" w:color="auto" w:fill="EBF2FA"/>
            <w:vAlign w:val="center"/>
          </w:tcPr>
          <w:p>
            <w:pPr>
              <w:jc w:val="center"/>
            </w:pPr>
            <w:r>
              <w:rPr>
                <w:sz w:val="18"/>
              </w:rPr>
              <w:t>H2</w:t>
            </w:r>
          </w:p>
        </w:tc>
        <w:tc>
          <w:tcPr>
            <w:tcW w:type="dxa" w:w="4032"/>
            <w:shd w:val="clear" w:color="auto" w:fill="EBF2FA"/>
            <w:vAlign w:val="center"/>
          </w:tcPr>
          <w:p>
            <w:pPr>
              <w:jc w:val="center"/>
            </w:pPr>
            <w:r>
              <w:rPr>
                <w:sz w:val="18"/>
              </w:rPr>
              <w:t>Shorter credit history → more defaults</w:t>
            </w:r>
          </w:p>
        </w:tc>
        <w:tc>
          <w:tcPr>
            <w:tcW w:type="dxa" w:w="4752"/>
            <w:shd w:val="clear" w:color="auto" w:fill="EBF2FA"/>
            <w:vAlign w:val="center"/>
          </w:tcPr>
          <w:p>
            <w:pPr>
              <w:jc w:val="center"/>
            </w:pPr>
            <w:r>
              <w:rPr>
                <w:sz w:val="18"/>
              </w:rPr>
              <w:t>Less experience managing debt = higher risk</w:t>
            </w:r>
          </w:p>
        </w:tc>
      </w:tr>
      <w:tr>
        <w:tc>
          <w:tcPr>
            <w:tcW w:type="dxa" w:w="576"/>
            <w:vAlign w:val="center"/>
          </w:tcPr>
          <w:p>
            <w:pPr>
              <w:jc w:val="center"/>
            </w:pPr>
            <w:r>
              <w:rPr>
                <w:sz w:val="18"/>
              </w:rPr>
              <w:t>H3</w:t>
            </w:r>
          </w:p>
        </w:tc>
        <w:tc>
          <w:tcPr>
            <w:tcW w:type="dxa" w:w="4032"/>
            <w:vAlign w:val="center"/>
          </w:tcPr>
          <w:p>
            <w:pPr>
              <w:jc w:val="center"/>
            </w:pPr>
            <w:r>
              <w:rPr>
                <w:sz w:val="18"/>
              </w:rPr>
              <w:t>Certain loan purposes → higher default rates</w:t>
            </w:r>
          </w:p>
        </w:tc>
        <w:tc>
          <w:tcPr>
            <w:tcW w:type="dxa" w:w="4752"/>
            <w:vAlign w:val="center"/>
          </w:tcPr>
          <w:p>
            <w:pPr>
              <w:jc w:val="center"/>
            </w:pPr>
            <w:r>
              <w:rPr>
                <w:sz w:val="18"/>
              </w:rPr>
              <w:t>Small business loans are riskier than debt consolidation</w:t>
            </w:r>
          </w:p>
        </w:tc>
      </w:tr>
      <w:tr>
        <w:tc>
          <w:tcPr>
            <w:tcW w:type="dxa" w:w="576"/>
            <w:shd w:val="clear" w:color="auto" w:fill="EBF2FA"/>
            <w:vAlign w:val="center"/>
          </w:tcPr>
          <w:p>
            <w:pPr>
              <w:jc w:val="center"/>
            </w:pPr>
            <w:r>
              <w:rPr>
                <w:sz w:val="18"/>
              </w:rPr>
              <w:t>H4</w:t>
            </w:r>
          </w:p>
        </w:tc>
        <w:tc>
          <w:tcPr>
            <w:tcW w:type="dxa" w:w="4032"/>
            <w:shd w:val="clear" w:color="auto" w:fill="EBF2FA"/>
            <w:vAlign w:val="center"/>
          </w:tcPr>
          <w:p>
            <w:pPr>
              <w:jc w:val="center"/>
            </w:pPr>
            <w:r>
              <w:rPr>
                <w:sz w:val="18"/>
              </w:rPr>
              <w:t>Lower annual income → more defaults</w:t>
            </w:r>
          </w:p>
        </w:tc>
        <w:tc>
          <w:tcPr>
            <w:tcW w:type="dxa" w:w="4752"/>
            <w:shd w:val="clear" w:color="auto" w:fill="EBF2FA"/>
            <w:vAlign w:val="center"/>
          </w:tcPr>
          <w:p>
            <w:pPr>
              <w:jc w:val="center"/>
            </w:pPr>
            <w:r>
              <w:rPr>
                <w:sz w:val="18"/>
              </w:rPr>
              <w:t>Less financial cushion to absorb unexpected expenses</w:t>
            </w:r>
          </w:p>
        </w:tc>
      </w:tr>
      <w:tr>
        <w:tc>
          <w:tcPr>
            <w:tcW w:type="dxa" w:w="576"/>
            <w:vAlign w:val="center"/>
          </w:tcPr>
          <w:p>
            <w:pPr>
              <w:jc w:val="center"/>
            </w:pPr>
            <w:r>
              <w:rPr>
                <w:sz w:val="18"/>
              </w:rPr>
              <w:t>H5</w:t>
            </w:r>
          </w:p>
        </w:tc>
        <w:tc>
          <w:tcPr>
            <w:tcW w:type="dxa" w:w="4032"/>
            <w:vAlign w:val="center"/>
          </w:tcPr>
          <w:p>
            <w:pPr>
              <w:jc w:val="center"/>
            </w:pPr>
            <w:r>
              <w:rPr>
                <w:sz w:val="18"/>
              </w:rPr>
              <w:t>More derogatory public records → more defaults</w:t>
            </w:r>
          </w:p>
        </w:tc>
        <w:tc>
          <w:tcPr>
            <w:tcW w:type="dxa" w:w="4752"/>
            <w:vAlign w:val="center"/>
          </w:tcPr>
          <w:p>
            <w:pPr>
              <w:jc w:val="center"/>
            </w:pPr>
            <w:r>
              <w:rPr>
                <w:sz w:val="18"/>
              </w:rPr>
              <w:t>Past bankruptcy or tax liens indicate poor financial behaviour</w:t>
            </w:r>
          </w:p>
        </w:tc>
      </w:tr>
    </w:tbl>
    <w:p>
      <w:pPr>
        <w:spacing w:after="120"/>
      </w:pPr>
    </w:p>
    <w:p>
      <w:r>
        <w:br w:type="page"/>
      </w:r>
    </w:p>
    <w:p>
      <w:pPr>
        <w:pStyle w:val="Heading1"/>
        <w:spacing w:before="240" w:after="120"/>
      </w:pPr>
      <w:r>
        <w:rPr>
          <w:color w:val="0D2B55"/>
        </w:rPr>
        <w:t>5. Exploratory Data Analysis (EDA)</w:t>
      </w:r>
    </w:p>
    <w:p>
      <w:pPr>
        <w:pStyle w:val="Heading2"/>
        <w:spacing w:before="240" w:after="120"/>
      </w:pPr>
      <w:r>
        <w:rPr>
          <w:color w:val="1F497D"/>
        </w:rPr>
        <w:t>5.1  What Is EDA?</w:t>
      </w:r>
    </w:p>
    <w:p>
      <w:pPr>
        <w:spacing w:after="120" w:before="40"/>
      </w:pPr>
      <w:r>
        <w:rPr>
          <w:b w:val="0"/>
          <w:i w:val="0"/>
        </w:rPr>
        <w:t>Exploratory Data Analysis is the process of visually and statistically examining your data before building any model. It answers three questions: (1) Are my hypotheses correct — do the expected patterns actually exist? (2) What does the data look like — distributions, outliers, missing values? (3) Which features will be useful to a model?</w:t>
      </w:r>
    </w:p>
    <w:p>
      <w:pPr>
        <w:spacing w:after="120" w:before="40"/>
      </w:pPr>
      <w:r>
        <w:rPr>
          <w:b w:val="0"/>
          <w:i w:val="0"/>
        </w:rPr>
        <w:t>Skipping EDA is one of the most common mistakes in data science. A model trained on misunderstood data produces wrong answers with high confidence — the worst outcome.</w:t>
      </w:r>
    </w:p>
    <w:p>
      <w:pPr>
        <w:pStyle w:val="Heading2"/>
        <w:spacing w:before="240" w:after="120"/>
      </w:pPr>
      <w:r>
        <w:rPr>
          <w:color w:val="1F497D"/>
        </w:rPr>
        <w:t>5.2  Key EDA Findings</w:t>
      </w:r>
    </w:p>
    <w:p>
      <w:pPr>
        <w:spacing w:after="120" w:before="40"/>
      </w:pPr>
      <w:r>
        <w:rPr>
          <w:b/>
          <w:i w:val="0"/>
        </w:rPr>
        <w:t>Debt-to-Income Ratio (H1)</w:t>
      </w:r>
    </w:p>
    <w:p>
      <w:pPr>
        <w:spacing w:after="120" w:before="40"/>
      </w:pPr>
      <w:r>
        <w:rPr>
          <w:b w:val="0"/>
          <w:i w:val="0"/>
        </w:rPr>
        <w:t>DTI measures how much of a borrower's monthly income is consumed by debt payments. Defaulters had a median DTI of 19.75 versus 17.10 for fully paid borrowers. The KDE (density) plots show the entire default distribution shifted right — higher DTI consistently associates with higher default risk.</w:t>
      </w:r>
    </w:p>
    <w:p>
      <w:pPr>
        <w:jc w:val="center"/>
      </w:pPr>
      <w:r>
        <w:drawing>
          <wp:inline xmlns:a="http://schemas.openxmlformats.org/drawingml/2006/main" xmlns:pic="http://schemas.openxmlformats.org/drawingml/2006/picture">
            <wp:extent cx="5029200" cy="1796143"/>
            <wp:docPr id="5" name="Picture 5"/>
            <wp:cNvGraphicFramePr>
              <a:graphicFrameLocks noChangeAspect="1"/>
            </wp:cNvGraphicFramePr>
            <a:graphic>
              <a:graphicData uri="http://schemas.openxmlformats.org/drawingml/2006/picture">
                <pic:pic>
                  <pic:nvPicPr>
                    <pic:cNvPr id="0" name="h1_dti.png"/>
                    <pic:cNvPicPr/>
                  </pic:nvPicPr>
                  <pic:blipFill>
                    <a:blip r:embed="rId13"/>
                    <a:stretch>
                      <a:fillRect/>
                    </a:stretch>
                  </pic:blipFill>
                  <pic:spPr>
                    <a:xfrm>
                      <a:off x="0" y="0"/>
                      <a:ext cx="5029200" cy="1796143"/>
                    </a:xfrm>
                    <a:prstGeom prst="rect"/>
                  </pic:spPr>
                </pic:pic>
              </a:graphicData>
            </a:graphic>
          </wp:inline>
        </w:drawing>
      </w:r>
    </w:p>
    <w:p>
      <w:pPr>
        <w:spacing w:after="200"/>
        <w:jc w:val="center"/>
      </w:pPr>
      <w:r>
        <w:rPr>
          <w:i/>
          <w:color w:val="555555"/>
          <w:sz w:val="18"/>
        </w:rPr>
        <w:t>Figure 1: DTI distribution — defaulters (red) vs fully paid (blue)</w:t>
      </w:r>
    </w:p>
    <w:p>
      <w:pPr>
        <w:spacing w:after="120" w:before="40"/>
      </w:pPr>
      <w:r>
        <w:rPr>
          <w:b/>
          <w:i w:val="0"/>
        </w:rPr>
        <w:t>Loan Purpose (H3)</w:t>
      </w:r>
    </w:p>
    <w:p>
      <w:pPr>
        <w:spacing w:after="120" w:before="40"/>
      </w:pPr>
      <w:r>
        <w:rPr>
          <w:b w:val="0"/>
          <w:i w:val="0"/>
        </w:rPr>
        <w:t>The purpose of a loan has a strong association with default. Small business loans showed the highest default rate (~28%), followed by renewable energy and educational loans. Debt consolidation — the most common purpose — had a moderate default rate (~20%). Wedding and car loans were among the safest categories.</w:t>
      </w:r>
    </w:p>
    <w:p>
      <w:pPr>
        <w:jc w:val="center"/>
      </w:pPr>
      <w:r>
        <w:drawing>
          <wp:inline xmlns:a="http://schemas.openxmlformats.org/drawingml/2006/main" xmlns:pic="http://schemas.openxmlformats.org/drawingml/2006/picture">
            <wp:extent cx="5029200" cy="1885950"/>
            <wp:docPr id="6" name="Picture 6"/>
            <wp:cNvGraphicFramePr>
              <a:graphicFrameLocks noChangeAspect="1"/>
            </wp:cNvGraphicFramePr>
            <a:graphic>
              <a:graphicData uri="http://schemas.openxmlformats.org/drawingml/2006/picture">
                <pic:pic>
                  <pic:nvPicPr>
                    <pic:cNvPr id="0" name="h3_purpose.png"/>
                    <pic:cNvPicPr/>
                  </pic:nvPicPr>
                  <pic:blipFill>
                    <a:blip r:embed="rId14"/>
                    <a:stretch>
                      <a:fillRect/>
                    </a:stretch>
                  </pic:blipFill>
                  <pic:spPr>
                    <a:xfrm>
                      <a:off x="0" y="0"/>
                      <a:ext cx="5029200" cy="1885950"/>
                    </a:xfrm>
                    <a:prstGeom prst="rect"/>
                  </pic:spPr>
                </pic:pic>
              </a:graphicData>
            </a:graphic>
          </wp:inline>
        </w:drawing>
      </w:r>
    </w:p>
    <w:p>
      <w:pPr>
        <w:spacing w:after="200"/>
        <w:jc w:val="center"/>
      </w:pPr>
      <w:r>
        <w:rPr>
          <w:i/>
          <w:color w:val="555555"/>
          <w:sz w:val="18"/>
        </w:rPr>
        <w:t>Figure 2: Default rate (left) and loan volume (right) by loan purpose</w:t>
      </w:r>
    </w:p>
    <w:p>
      <w:pPr>
        <w:spacing w:after="120" w:before="40"/>
      </w:pPr>
      <w:r>
        <w:rPr>
          <w:b/>
          <w:i w:val="0"/>
        </w:rPr>
        <w:t>Annual Income (H4)</w:t>
      </w:r>
    </w:p>
    <w:p>
      <w:pPr>
        <w:spacing w:after="120" w:before="40"/>
      </w:pPr>
      <w:r>
        <w:rPr>
          <w:b w:val="0"/>
          <w:i w:val="0"/>
        </w:rPr>
        <w:t>Defaulters had a median annual income of $60,000 versus $65,000 for fully paid borrowers. While the $5,000 gap is statistically significant given the large dataset, the signal is modest. Income alone does not strongly predict default — it works best in combination with DTI and grade.</w:t>
      </w:r>
    </w:p>
    <w:p>
      <w:pPr>
        <w:jc w:val="center"/>
      </w:pPr>
      <w:r>
        <w:drawing>
          <wp:inline xmlns:a="http://schemas.openxmlformats.org/drawingml/2006/main" xmlns:pic="http://schemas.openxmlformats.org/drawingml/2006/picture">
            <wp:extent cx="5029200" cy="1796143"/>
            <wp:docPr id="7" name="Picture 7"/>
            <wp:cNvGraphicFramePr>
              <a:graphicFrameLocks noChangeAspect="1"/>
            </wp:cNvGraphicFramePr>
            <a:graphic>
              <a:graphicData uri="http://schemas.openxmlformats.org/drawingml/2006/picture">
                <pic:pic>
                  <pic:nvPicPr>
                    <pic:cNvPr id="0" name="h4_income.png"/>
                    <pic:cNvPicPr/>
                  </pic:nvPicPr>
                  <pic:blipFill>
                    <a:blip r:embed="rId15"/>
                    <a:stretch>
                      <a:fillRect/>
                    </a:stretch>
                  </pic:blipFill>
                  <pic:spPr>
                    <a:xfrm>
                      <a:off x="0" y="0"/>
                      <a:ext cx="5029200" cy="1796143"/>
                    </a:xfrm>
                    <a:prstGeom prst="rect"/>
                  </pic:spPr>
                </pic:pic>
              </a:graphicData>
            </a:graphic>
          </wp:inline>
        </w:drawing>
      </w:r>
    </w:p>
    <w:p>
      <w:pPr>
        <w:spacing w:after="200"/>
        <w:jc w:val="center"/>
      </w:pPr>
      <w:r>
        <w:rPr>
          <w:i/>
          <w:color w:val="555555"/>
          <w:sz w:val="18"/>
        </w:rPr>
        <w:t>Figure 3: Annual income distribution by target class</w:t>
      </w:r>
    </w:p>
    <w:p>
      <w:r>
        <w:br w:type="page"/>
      </w:r>
    </w:p>
    <w:p>
      <w:pPr>
        <w:pStyle w:val="Heading1"/>
        <w:spacing w:before="240" w:after="120"/>
      </w:pPr>
      <w:r>
        <w:rPr>
          <w:color w:val="0D2B55"/>
        </w:rPr>
        <w:t>6. Hypothesis Testing Results</w:t>
      </w:r>
    </w:p>
    <w:p>
      <w:pPr>
        <w:pStyle w:val="Heading2"/>
        <w:spacing w:before="240" w:after="120"/>
      </w:pPr>
      <w:r>
        <w:rPr>
          <w:color w:val="1F497D"/>
        </w:rPr>
        <w:t>6.1  Statistical Tests Used</w:t>
      </w:r>
    </w:p>
    <w:p>
      <w:pPr>
        <w:spacing w:after="120" w:before="40"/>
      </w:pPr>
      <w:r>
        <w:rPr>
          <w:b w:val="0"/>
          <w:i w:val="0"/>
        </w:rPr>
        <w:t>Three statistical tests were applied to validate each hypothesis rigorously:</w:t>
      </w:r>
    </w:p>
    <w:p>
      <w:pPr>
        <w:pStyle w:val="ListBullet"/>
        <w:spacing w:after="60" w:before="40"/>
      </w:pPr>
      <w:r>
        <w:rPr>
          <w:b/>
        </w:rPr>
        <w:t xml:space="preserve">Mann-Whitney U Test: </w:t>
      </w:r>
      <w:r>
        <w:t>A non-parametric test that checks whether the distribution of a numeric feature is significantly different between defaulters and paid borrowers. It does not assume normal distribution — important because financial data is heavily skewed.</w:t>
      </w:r>
    </w:p>
    <w:p>
      <w:pPr>
        <w:pStyle w:val="ListBullet"/>
        <w:spacing w:after="60" w:before="40"/>
      </w:pPr>
      <w:r>
        <w:rPr>
          <w:b/>
        </w:rPr>
        <w:t xml:space="preserve">Point-Biserial Correlation: </w:t>
      </w:r>
      <w:r>
        <w:t>Measures the linear correlation between a numeric feature and the binary target. Values close to 0 indicate weak signal; values above ±0.1 are considered meaningful.</w:t>
      </w:r>
    </w:p>
    <w:p>
      <w:pPr>
        <w:pStyle w:val="ListBullet"/>
        <w:spacing w:after="60" w:before="40"/>
      </w:pPr>
      <w:r>
        <w:rPr>
          <w:b/>
        </w:rPr>
        <w:t xml:space="preserve">Chi-Square Test: </w:t>
      </w:r>
      <w:r>
        <w:t>For categorical features (like loan purpose), tests whether the feature and the target variable are independent. A p-value below 0.05 means they are related.</w:t>
      </w:r>
    </w:p>
    <w:p>
      <w:pPr>
        <w:pStyle w:val="Heading2"/>
        <w:spacing w:before="240" w:after="120"/>
      </w:pPr>
      <w:r>
        <w:rPr>
          <w:color w:val="1F497D"/>
        </w:rPr>
        <w:t>6.2  Results Summary</w:t>
      </w:r>
    </w:p>
    <w:p>
      <w:pPr>
        <w:spacing w:after="120" w:before="40"/>
      </w:pPr>
      <w:r>
        <w:rPr>
          <w:b w:val="0"/>
          <w:i w:val="0"/>
        </w:rPr>
        <w:t>With 1.35 million rows, every feature returned p = 0.0 on Mann-Whitney (statistically significant). This is expected — very large datasets make tiny differences statistically significant. We therefore also look at the magnitude of the difference, not just the p-value.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304"/>
            <w:shd w:val="clear" w:color="auto" w:fill="1F497D"/>
            <w:vAlign w:val="center"/>
          </w:tcPr>
          <w:p>
            <w:pPr>
              <w:jc w:val="center"/>
            </w:pPr>
            <w:r>
              <w:rPr>
                <w:b/>
                <w:color w:val="FFFFFF"/>
                <w:sz w:val="18"/>
              </w:rPr>
              <w:t>Hypothesis</w:t>
            </w:r>
          </w:p>
        </w:tc>
        <w:tc>
          <w:tcPr>
            <w:tcW w:type="dxa" w:w="2160"/>
            <w:shd w:val="clear" w:color="auto" w:fill="1F497D"/>
            <w:vAlign w:val="center"/>
          </w:tcPr>
          <w:p>
            <w:pPr>
              <w:jc w:val="center"/>
            </w:pPr>
            <w:r>
              <w:rPr>
                <w:b/>
                <w:color w:val="FFFFFF"/>
                <w:sz w:val="18"/>
              </w:rPr>
              <w:t>Feature</w:t>
            </w:r>
          </w:p>
        </w:tc>
        <w:tc>
          <w:tcPr>
            <w:tcW w:type="dxa" w:w="1440"/>
            <w:shd w:val="clear" w:color="auto" w:fill="1F497D"/>
            <w:vAlign w:val="center"/>
          </w:tcPr>
          <w:p>
            <w:pPr>
              <w:jc w:val="center"/>
            </w:pPr>
            <w:r>
              <w:rPr>
                <w:b/>
                <w:color w:val="FFFFFF"/>
                <w:sz w:val="18"/>
              </w:rPr>
              <w:t>Default Value</w:t>
            </w:r>
          </w:p>
        </w:tc>
        <w:tc>
          <w:tcPr>
            <w:tcW w:type="dxa" w:w="1440"/>
            <w:shd w:val="clear" w:color="auto" w:fill="1F497D"/>
            <w:vAlign w:val="center"/>
          </w:tcPr>
          <w:p>
            <w:pPr>
              <w:jc w:val="center"/>
            </w:pPr>
            <w:r>
              <w:rPr>
                <w:b/>
                <w:color w:val="FFFFFF"/>
                <w:sz w:val="18"/>
              </w:rPr>
              <w:t>Paid Value</w:t>
            </w:r>
          </w:p>
        </w:tc>
        <w:tc>
          <w:tcPr>
            <w:tcW w:type="dxa" w:w="2304"/>
            <w:shd w:val="clear" w:color="auto" w:fill="1F497D"/>
            <w:vAlign w:val="center"/>
          </w:tcPr>
          <w:p>
            <w:pPr>
              <w:jc w:val="center"/>
            </w:pPr>
            <w:r>
              <w:rPr>
                <w:b/>
                <w:color w:val="FFFFFF"/>
                <w:sz w:val="18"/>
              </w:rPr>
              <w:t>Difference</w:t>
            </w:r>
          </w:p>
        </w:tc>
        <w:tc>
          <w:tcPr>
            <w:tcW w:type="dxa" w:w="1440"/>
            <w:shd w:val="clear" w:color="auto" w:fill="1F497D"/>
            <w:vAlign w:val="center"/>
          </w:tcPr>
          <w:p>
            <w:pPr>
              <w:jc w:val="center"/>
            </w:pPr>
            <w:r>
              <w:rPr>
                <w:b/>
                <w:color w:val="FFFFFF"/>
                <w:sz w:val="18"/>
              </w:rPr>
              <w:t>Verdict</w:t>
            </w:r>
          </w:p>
        </w:tc>
      </w:tr>
      <w:tr>
        <w:tc>
          <w:tcPr>
            <w:tcW w:type="dxa" w:w="2304"/>
          </w:tcPr>
          <w:p/>
        </w:tc>
        <w:tc>
          <w:tcPr>
            <w:tcW w:type="dxa" w:w="2160"/>
          </w:tcPr>
          <w:p/>
        </w:tc>
        <w:tc>
          <w:tcPr>
            <w:tcW w:type="dxa" w:w="1440"/>
          </w:tcPr>
          <w:p/>
        </w:tc>
        <w:tc>
          <w:tcPr>
            <w:tcW w:type="dxa" w:w="1440"/>
          </w:tcPr>
          <w:p/>
        </w:tc>
        <w:tc>
          <w:tcPr>
            <w:tcW w:type="dxa" w:w="2304"/>
          </w:tcPr>
          <w:p/>
        </w:tc>
        <w:tc>
          <w:tcPr>
            <w:tcW w:type="dxa" w:w="1440"/>
          </w:tcPr>
          <w:p/>
        </w:tc>
      </w:tr>
      <w:tr>
        <w:tc>
          <w:tcPr>
            <w:tcW w:type="dxa" w:w="2304"/>
          </w:tcPr>
          <w:p/>
        </w:tc>
        <w:tc>
          <w:tcPr>
            <w:tcW w:type="dxa" w:w="2160"/>
          </w:tcPr>
          <w:p/>
        </w:tc>
        <w:tc>
          <w:tcPr>
            <w:tcW w:type="dxa" w:w="1440"/>
          </w:tcPr>
          <w:p/>
        </w:tc>
        <w:tc>
          <w:tcPr>
            <w:tcW w:type="dxa" w:w="1440"/>
          </w:tcPr>
          <w:p/>
        </w:tc>
        <w:tc>
          <w:tcPr>
            <w:tcW w:type="dxa" w:w="2304"/>
          </w:tcPr>
          <w:p/>
        </w:tc>
        <w:tc>
          <w:tcPr>
            <w:tcW w:type="dxa" w:w="1440"/>
          </w:tcPr>
          <w:p/>
        </w:tc>
      </w:tr>
      <w:tr>
        <w:tc>
          <w:tcPr>
            <w:tcW w:type="dxa" w:w="2304"/>
          </w:tcPr>
          <w:p/>
        </w:tc>
        <w:tc>
          <w:tcPr>
            <w:tcW w:type="dxa" w:w="2160"/>
          </w:tcPr>
          <w:p/>
        </w:tc>
        <w:tc>
          <w:tcPr>
            <w:tcW w:type="dxa" w:w="1440"/>
          </w:tcPr>
          <w:p/>
        </w:tc>
        <w:tc>
          <w:tcPr>
            <w:tcW w:type="dxa" w:w="1440"/>
          </w:tcPr>
          <w:p/>
        </w:tc>
        <w:tc>
          <w:tcPr>
            <w:tcW w:type="dxa" w:w="2304"/>
          </w:tcPr>
          <w:p/>
        </w:tc>
        <w:tc>
          <w:tcPr>
            <w:tcW w:type="dxa" w:w="1440"/>
          </w:tcPr>
          <w:p/>
        </w:tc>
      </w:tr>
      <w:tr>
        <w:tc>
          <w:tcPr>
            <w:tcW w:type="dxa" w:w="2304"/>
          </w:tcPr>
          <w:p/>
        </w:tc>
        <w:tc>
          <w:tcPr>
            <w:tcW w:type="dxa" w:w="2160"/>
          </w:tcPr>
          <w:p/>
        </w:tc>
        <w:tc>
          <w:tcPr>
            <w:tcW w:type="dxa" w:w="1440"/>
          </w:tcPr>
          <w:p/>
        </w:tc>
        <w:tc>
          <w:tcPr>
            <w:tcW w:type="dxa" w:w="1440"/>
          </w:tcPr>
          <w:p/>
        </w:tc>
        <w:tc>
          <w:tcPr>
            <w:tcW w:type="dxa" w:w="2304"/>
          </w:tcPr>
          <w:p/>
        </w:tc>
        <w:tc>
          <w:tcPr>
            <w:tcW w:type="dxa" w:w="1440"/>
          </w:tcPr>
          <w:p/>
        </w:tc>
      </w:tr>
      <w:tr>
        <w:tc>
          <w:tcPr>
            <w:tcW w:type="dxa" w:w="2304"/>
          </w:tcPr>
          <w:p/>
        </w:tc>
        <w:tc>
          <w:tcPr>
            <w:tcW w:type="dxa" w:w="2160"/>
          </w:tcPr>
          <w:p/>
        </w:tc>
        <w:tc>
          <w:tcPr>
            <w:tcW w:type="dxa" w:w="1440"/>
          </w:tcPr>
          <w:p/>
        </w:tc>
        <w:tc>
          <w:tcPr>
            <w:tcW w:type="dxa" w:w="1440"/>
          </w:tcPr>
          <w:p/>
        </w:tc>
        <w:tc>
          <w:tcPr>
            <w:tcW w:type="dxa" w:w="2304"/>
          </w:tcPr>
          <w:p/>
        </w:tc>
        <w:tc>
          <w:tcPr>
            <w:tcW w:type="dxa" w:w="1440"/>
          </w:tcPr>
          <w:p/>
        </w:tc>
      </w:tr>
      <w:tr>
        <w:tc>
          <w:tcPr>
            <w:tcW w:type="dxa" w:w="2304"/>
            <w:vAlign w:val="center"/>
          </w:tcPr>
          <w:p>
            <w:pPr>
              <w:jc w:val="center"/>
            </w:pPr>
            <w:r>
              <w:rPr>
                <w:sz w:val="18"/>
              </w:rPr>
              <w:t>H1: Higher DTI</w:t>
            </w:r>
          </w:p>
        </w:tc>
        <w:tc>
          <w:tcPr>
            <w:tcW w:type="dxa" w:w="2160"/>
            <w:vAlign w:val="center"/>
          </w:tcPr>
          <w:p>
            <w:pPr>
              <w:jc w:val="center"/>
            </w:pPr>
            <w:r>
              <w:rPr>
                <w:sz w:val="18"/>
              </w:rPr>
              <w:t>dti</w:t>
            </w:r>
          </w:p>
        </w:tc>
        <w:tc>
          <w:tcPr>
            <w:tcW w:type="dxa" w:w="1440"/>
            <w:vAlign w:val="center"/>
          </w:tcPr>
          <w:p>
            <w:pPr>
              <w:jc w:val="center"/>
            </w:pPr>
            <w:r>
              <w:rPr>
                <w:sz w:val="18"/>
              </w:rPr>
              <w:t>19.75</w:t>
            </w:r>
          </w:p>
        </w:tc>
        <w:tc>
          <w:tcPr>
            <w:tcW w:type="dxa" w:w="1440"/>
            <w:vAlign w:val="center"/>
          </w:tcPr>
          <w:p>
            <w:pPr>
              <w:jc w:val="center"/>
            </w:pPr>
            <w:r>
              <w:rPr>
                <w:sz w:val="18"/>
              </w:rPr>
              <w:t>17.10</w:t>
            </w:r>
          </w:p>
        </w:tc>
        <w:tc>
          <w:tcPr>
            <w:tcW w:type="dxa" w:w="2304"/>
            <w:vAlign w:val="center"/>
          </w:tcPr>
          <w:p>
            <w:pPr>
              <w:jc w:val="center"/>
            </w:pPr>
            <w:r>
              <w:rPr>
                <w:sz w:val="18"/>
              </w:rPr>
              <w:t>+2.65 (15.5% higher)</w:t>
            </w:r>
          </w:p>
        </w:tc>
        <w:tc>
          <w:tcPr>
            <w:tcW w:type="dxa" w:w="1440"/>
            <w:vAlign w:val="center"/>
          </w:tcPr>
          <w:p>
            <w:pPr>
              <w:jc w:val="center"/>
            </w:pPr>
            <w:r>
              <w:rPr>
                <w:sz w:val="18"/>
              </w:rPr>
              <w:t>✓ Confirmed</w:t>
            </w:r>
          </w:p>
        </w:tc>
      </w:tr>
      <w:tr>
        <w:tc>
          <w:tcPr>
            <w:tcW w:type="dxa" w:w="2304"/>
            <w:shd w:val="clear" w:color="auto" w:fill="EBF2FA"/>
            <w:vAlign w:val="center"/>
          </w:tcPr>
          <w:p>
            <w:pPr>
              <w:jc w:val="center"/>
            </w:pPr>
            <w:r>
              <w:rPr>
                <w:sz w:val="18"/>
              </w:rPr>
              <w:t>H2: Shorter Credit History</w:t>
            </w:r>
          </w:p>
        </w:tc>
        <w:tc>
          <w:tcPr>
            <w:tcW w:type="dxa" w:w="2160"/>
            <w:shd w:val="clear" w:color="auto" w:fill="EBF2FA"/>
            <w:vAlign w:val="center"/>
          </w:tcPr>
          <w:p>
            <w:pPr>
              <w:jc w:val="center"/>
            </w:pPr>
            <w:r>
              <w:rPr>
                <w:sz w:val="18"/>
              </w:rPr>
              <w:t>credit_history_years</w:t>
            </w:r>
          </w:p>
        </w:tc>
        <w:tc>
          <w:tcPr>
            <w:tcW w:type="dxa" w:w="1440"/>
            <w:shd w:val="clear" w:color="auto" w:fill="EBF2FA"/>
            <w:vAlign w:val="center"/>
          </w:tcPr>
          <w:p>
            <w:pPr>
              <w:jc w:val="center"/>
            </w:pPr>
            <w:r>
              <w:rPr>
                <w:sz w:val="18"/>
              </w:rPr>
              <w:t>17.85yr</w:t>
            </w:r>
          </w:p>
        </w:tc>
        <w:tc>
          <w:tcPr>
            <w:tcW w:type="dxa" w:w="1440"/>
            <w:shd w:val="clear" w:color="auto" w:fill="EBF2FA"/>
            <w:vAlign w:val="center"/>
          </w:tcPr>
          <w:p>
            <w:pPr>
              <w:jc w:val="center"/>
            </w:pPr>
            <w:r>
              <w:rPr>
                <w:sz w:val="18"/>
              </w:rPr>
              <w:t>18.68yr</w:t>
            </w:r>
          </w:p>
        </w:tc>
        <w:tc>
          <w:tcPr>
            <w:tcW w:type="dxa" w:w="2304"/>
            <w:shd w:val="clear" w:color="auto" w:fill="EBF2FA"/>
            <w:vAlign w:val="center"/>
          </w:tcPr>
          <w:p>
            <w:pPr>
              <w:jc w:val="center"/>
            </w:pPr>
            <w:r>
              <w:rPr>
                <w:sz w:val="18"/>
              </w:rPr>
              <w:t>-0.83yr (4.4% shorter)</w:t>
            </w:r>
          </w:p>
        </w:tc>
        <w:tc>
          <w:tcPr>
            <w:tcW w:type="dxa" w:w="1440"/>
            <w:shd w:val="clear" w:color="auto" w:fill="EBF2FA"/>
            <w:vAlign w:val="center"/>
          </w:tcPr>
          <w:p>
            <w:pPr>
              <w:jc w:val="center"/>
            </w:pPr>
            <w:r>
              <w:rPr>
                <w:sz w:val="18"/>
              </w:rPr>
              <w:t>~ Weak signal</w:t>
            </w:r>
          </w:p>
        </w:tc>
      </w:tr>
      <w:tr>
        <w:tc>
          <w:tcPr>
            <w:tcW w:type="dxa" w:w="2304"/>
            <w:vAlign w:val="center"/>
          </w:tcPr>
          <w:p>
            <w:pPr>
              <w:jc w:val="center"/>
            </w:pPr>
            <w:r>
              <w:rPr>
                <w:sz w:val="18"/>
              </w:rPr>
              <w:t>H3: Loan Purpose</w:t>
            </w:r>
          </w:p>
        </w:tc>
        <w:tc>
          <w:tcPr>
            <w:tcW w:type="dxa" w:w="2160"/>
            <w:vAlign w:val="center"/>
          </w:tcPr>
          <w:p>
            <w:pPr>
              <w:jc w:val="center"/>
            </w:pPr>
            <w:r>
              <w:rPr>
                <w:sz w:val="18"/>
              </w:rPr>
              <w:t>purpose (categorical)</w:t>
            </w:r>
          </w:p>
        </w:tc>
        <w:tc>
          <w:tcPr>
            <w:tcW w:type="dxa" w:w="1440"/>
            <w:vAlign w:val="center"/>
          </w:tcPr>
          <w:p>
            <w:pPr>
              <w:jc w:val="center"/>
            </w:pPr>
            <w:r>
              <w:rPr>
                <w:sz w:val="18"/>
              </w:rPr>
              <w:t>—</w:t>
            </w:r>
          </w:p>
        </w:tc>
        <w:tc>
          <w:tcPr>
            <w:tcW w:type="dxa" w:w="1440"/>
            <w:vAlign w:val="center"/>
          </w:tcPr>
          <w:p>
            <w:pPr>
              <w:jc w:val="center"/>
            </w:pPr>
            <w:r>
              <w:rPr>
                <w:sz w:val="18"/>
              </w:rPr>
              <w:t>—</w:t>
            </w:r>
          </w:p>
        </w:tc>
        <w:tc>
          <w:tcPr>
            <w:tcW w:type="dxa" w:w="2304"/>
            <w:vAlign w:val="center"/>
          </w:tcPr>
          <w:p>
            <w:pPr>
              <w:jc w:val="center"/>
            </w:pPr>
            <w:r>
              <w:rPr>
                <w:sz w:val="18"/>
              </w:rPr>
              <w:t>Chi² = 4,182, p = 0.0</w:t>
            </w:r>
          </w:p>
        </w:tc>
        <w:tc>
          <w:tcPr>
            <w:tcW w:type="dxa" w:w="1440"/>
            <w:vAlign w:val="center"/>
          </w:tcPr>
          <w:p>
            <w:pPr>
              <w:jc w:val="center"/>
            </w:pPr>
            <w:r>
              <w:rPr>
                <w:sz w:val="18"/>
              </w:rPr>
              <w:t>✓ Confirmed</w:t>
            </w:r>
          </w:p>
        </w:tc>
      </w:tr>
      <w:tr>
        <w:tc>
          <w:tcPr>
            <w:tcW w:type="dxa" w:w="2304"/>
            <w:shd w:val="clear" w:color="auto" w:fill="EBF2FA"/>
            <w:vAlign w:val="center"/>
          </w:tcPr>
          <w:p>
            <w:pPr>
              <w:jc w:val="center"/>
            </w:pPr>
            <w:r>
              <w:rPr>
                <w:sz w:val="18"/>
              </w:rPr>
              <w:t>H4: Lower Income</w:t>
            </w:r>
          </w:p>
        </w:tc>
        <w:tc>
          <w:tcPr>
            <w:tcW w:type="dxa" w:w="2160"/>
            <w:shd w:val="clear" w:color="auto" w:fill="EBF2FA"/>
            <w:vAlign w:val="center"/>
          </w:tcPr>
          <w:p>
            <w:pPr>
              <w:jc w:val="center"/>
            </w:pPr>
            <w:r>
              <w:rPr>
                <w:sz w:val="18"/>
              </w:rPr>
              <w:t>annual_inc</w:t>
            </w:r>
          </w:p>
        </w:tc>
        <w:tc>
          <w:tcPr>
            <w:tcW w:type="dxa" w:w="1440"/>
            <w:shd w:val="clear" w:color="auto" w:fill="EBF2FA"/>
            <w:vAlign w:val="center"/>
          </w:tcPr>
          <w:p>
            <w:pPr>
              <w:jc w:val="center"/>
            </w:pPr>
            <w:r>
              <w:rPr>
                <w:sz w:val="18"/>
              </w:rPr>
              <w:t>$60,000</w:t>
            </w:r>
          </w:p>
        </w:tc>
        <w:tc>
          <w:tcPr>
            <w:tcW w:type="dxa" w:w="1440"/>
            <w:shd w:val="clear" w:color="auto" w:fill="EBF2FA"/>
            <w:vAlign w:val="center"/>
          </w:tcPr>
          <w:p>
            <w:pPr>
              <w:jc w:val="center"/>
            </w:pPr>
            <w:r>
              <w:rPr>
                <w:sz w:val="18"/>
              </w:rPr>
              <w:t>$65,000</w:t>
            </w:r>
          </w:p>
        </w:tc>
        <w:tc>
          <w:tcPr>
            <w:tcW w:type="dxa" w:w="2304"/>
            <w:shd w:val="clear" w:color="auto" w:fill="EBF2FA"/>
            <w:vAlign w:val="center"/>
          </w:tcPr>
          <w:p>
            <w:pPr>
              <w:jc w:val="center"/>
            </w:pPr>
            <w:r>
              <w:rPr>
                <w:sz w:val="18"/>
              </w:rPr>
              <w:t>$5,000 (7.7% lower)</w:t>
            </w:r>
          </w:p>
        </w:tc>
        <w:tc>
          <w:tcPr>
            <w:tcW w:type="dxa" w:w="1440"/>
            <w:shd w:val="clear" w:color="auto" w:fill="EBF2FA"/>
            <w:vAlign w:val="center"/>
          </w:tcPr>
          <w:p>
            <w:pPr>
              <w:jc w:val="center"/>
            </w:pPr>
            <w:r>
              <w:rPr>
                <w:sz w:val="18"/>
              </w:rPr>
              <w:t>✓ Confirmed</w:t>
            </w:r>
          </w:p>
        </w:tc>
      </w:tr>
      <w:tr>
        <w:tc>
          <w:tcPr>
            <w:tcW w:type="dxa" w:w="2304"/>
            <w:vAlign w:val="center"/>
          </w:tcPr>
          <w:p>
            <w:pPr>
              <w:jc w:val="center"/>
            </w:pPr>
            <w:r>
              <w:rPr>
                <w:sz w:val="18"/>
              </w:rPr>
              <w:t>H5: Derogatory Marks</w:t>
            </w:r>
          </w:p>
        </w:tc>
        <w:tc>
          <w:tcPr>
            <w:tcW w:type="dxa" w:w="2160"/>
            <w:vAlign w:val="center"/>
          </w:tcPr>
          <w:p>
            <w:pPr>
              <w:jc w:val="center"/>
            </w:pPr>
            <w:r>
              <w:rPr>
                <w:sz w:val="18"/>
              </w:rPr>
              <w:t>pub_rec</w:t>
            </w:r>
          </w:p>
        </w:tc>
        <w:tc>
          <w:tcPr>
            <w:tcW w:type="dxa" w:w="1440"/>
            <w:vAlign w:val="center"/>
          </w:tcPr>
          <w:p>
            <w:pPr>
              <w:jc w:val="center"/>
            </w:pPr>
            <w:r>
              <w:rPr>
                <w:sz w:val="18"/>
              </w:rPr>
              <w:t>0.246</w:t>
            </w:r>
          </w:p>
        </w:tc>
        <w:tc>
          <w:tcPr>
            <w:tcW w:type="dxa" w:w="1440"/>
            <w:vAlign w:val="center"/>
          </w:tcPr>
          <w:p>
            <w:pPr>
              <w:jc w:val="center"/>
            </w:pPr>
            <w:r>
              <w:rPr>
                <w:sz w:val="18"/>
              </w:rPr>
              <w:t>0.207</w:t>
            </w:r>
          </w:p>
        </w:tc>
        <w:tc>
          <w:tcPr>
            <w:tcW w:type="dxa" w:w="2304"/>
            <w:vAlign w:val="center"/>
          </w:tcPr>
          <w:p>
            <w:pPr>
              <w:jc w:val="center"/>
            </w:pPr>
            <w:r>
              <w:rPr>
                <w:sz w:val="18"/>
              </w:rPr>
              <w:t>+0.039 (18.8% higher)</w:t>
            </w:r>
          </w:p>
        </w:tc>
        <w:tc>
          <w:tcPr>
            <w:tcW w:type="dxa" w:w="1440"/>
            <w:vAlign w:val="center"/>
          </w:tcPr>
          <w:p>
            <w:pPr>
              <w:jc w:val="center"/>
            </w:pPr>
            <w:r>
              <w:rPr>
                <w:sz w:val="18"/>
              </w:rPr>
              <w:t>~ Weak signal</w:t>
            </w:r>
          </w:p>
        </w:tc>
      </w:tr>
    </w:tbl>
    <w:p>
      <w:pPr>
        <w:spacing w:after="120"/>
      </w:pPr>
    </w:p>
    <w:p>
      <w:pPr>
        <w:pStyle w:val="Heading2"/>
        <w:spacing w:before="240" w:after="120"/>
      </w:pPr>
      <w:r>
        <w:rPr>
          <w:color w:val="1F497D"/>
        </w:rPr>
        <w:t>6.3  Interpretation</w:t>
      </w:r>
    </w:p>
    <w:p>
      <w:pPr>
        <w:spacing w:after="120" w:before="40"/>
      </w:pPr>
      <w:r>
        <w:rPr>
          <w:b w:val="0"/>
          <w:i w:val="0"/>
        </w:rPr>
        <w:t>H1, H3, and H4 are confirmed with meaningful effect sizes. H2 and H5 show the correct direction but small magnitude — they are kept as features but are expected to have low importance in the final model. This is exactly what the XGBoost feature importance chart later confirms: grade and int_rate dominate, while credit_history_years and has_derogatory contribute modestly.</w:t>
      </w:r>
    </w:p>
    <w:p>
      <w:r>
        <w:br w:type="page"/>
      </w:r>
    </w:p>
    <w:p>
      <w:pPr>
        <w:pStyle w:val="Heading1"/>
        <w:spacing w:before="240" w:after="120"/>
      </w:pPr>
      <w:r>
        <w:rPr>
          <w:color w:val="0D2B55"/>
        </w:rPr>
        <w:t>7. Data Preprocessing</w:t>
      </w:r>
    </w:p>
    <w:p>
      <w:pPr>
        <w:pStyle w:val="Heading2"/>
        <w:spacing w:before="240" w:after="120"/>
      </w:pPr>
      <w:r>
        <w:rPr>
          <w:color w:val="1F497D"/>
        </w:rPr>
        <w:t>7.1  Why Preprocessing Matters</w:t>
      </w:r>
    </w:p>
    <w:p>
      <w:pPr>
        <w:spacing w:after="120" w:before="40"/>
      </w:pPr>
      <w:r>
        <w:rPr>
          <w:b w:val="0"/>
          <w:i w:val="0"/>
        </w:rPr>
        <w:t>Raw data cannot be fed directly into a machine learning model. Models are mathematical functions — they require numbers, not text. They cannot handle missing values. They can be misled by features on wildly different scales. Preprocessing is the bridge between raw data and a model-ready dataset.</w:t>
      </w:r>
    </w:p>
    <w:tbl>
      <w:tblPr>
        <w:tblStyle w:val="TableGrid"/>
        <w:tblW w:type="auto" w:w="0"/>
        <w:tblLook w:firstColumn="1" w:firstRow="1" w:lastColumn="0" w:lastRow="0" w:noHBand="0" w:noVBand="1" w:val="04A0"/>
      </w:tblPr>
      <w:tblGrid>
        <w:gridCol w:w="8640"/>
      </w:tblGrid>
      <w:tr>
        <w:tc>
          <w:tcPr>
            <w:tcW w:type="dxa" w:w="8640"/>
            <w:shd w:val="clear" w:color="auto" w:fill="1F497D"/>
          </w:tcPr>
          <w:p>
            <w:pPr>
              <w:spacing w:before="80" w:after="80"/>
            </w:pPr>
            <w:r>
              <w:rPr>
                <w:b/>
                <w:color w:val="FFFFFF"/>
                <w:sz w:val="18"/>
              </w:rPr>
              <w:t xml:space="preserve">PRINCIPLE:  </w:t>
            </w:r>
            <w:r>
              <w:rPr>
                <w:color w:val="FFFFFF"/>
                <w:sz w:val="18"/>
              </w:rPr>
              <w:t>"Garbage in, garbage out." The quality of the model is bounded by the quality of the input data. Preprocessing is where most of the real work happens.</w:t>
            </w:r>
          </w:p>
        </w:tc>
      </w:tr>
    </w:tbl>
    <w:p>
      <w:pPr>
        <w:spacing w:after="80"/>
      </w:pPr>
    </w:p>
    <w:p>
      <w:pPr>
        <w:pStyle w:val="Heading2"/>
        <w:spacing w:before="240" w:after="120"/>
      </w:pPr>
      <w:r>
        <w:rPr>
          <w:color w:val="1F497D"/>
        </w:rPr>
        <w:t>7.2  Steps Performed</w:t>
      </w:r>
    </w:p>
    <w:p>
      <w:pPr>
        <w:spacing w:after="60" w:before="40"/>
      </w:pPr>
      <w:r>
        <w:rPr>
          <w:b/>
          <w:i w:val="0"/>
        </w:rPr>
        <w:t>Step 1: Feature Selection (151 → 20 columns)</w:t>
      </w:r>
    </w:p>
    <w:p>
      <w:pPr>
        <w:spacing w:after="160" w:before="40"/>
      </w:pPr>
      <w:r>
        <w:rPr>
          <w:b w:val="0"/>
          <w:i w:val="0"/>
        </w:rPr>
        <w:t>Of 151 raw columns, only 20 were selected. Many columns were excluded because they contain information only available after the loan is issued (e.g., total_payment, recoveries). Using these would be data leakage — the model would "cheat" by learning from the future. Only features available at the time of application were kept.</w:t>
      </w:r>
    </w:p>
    <w:p>
      <w:pPr>
        <w:spacing w:after="60" w:before="40"/>
      </w:pPr>
      <w:r>
        <w:rPr>
          <w:b/>
          <w:i w:val="0"/>
        </w:rPr>
        <w:t>Step 2: Feature Engineering</w:t>
      </w:r>
    </w:p>
    <w:p>
      <w:pPr>
        <w:spacing w:after="160" w:before="40"/>
      </w:pPr>
      <w:r>
        <w:rPr>
          <w:b w:val="0"/>
          <w:i w:val="0"/>
        </w:rPr>
        <w:t>Two transformations were applied: (a) earliest_cr_line, stored as a string like "Jan-2005", was converted to credit_history_years by measuring the gap from the loan date. (b) pub_rec (number of public records) was converted to a binary flag has_derogatory (0 or 1) because the distinction between 0 and 1+ records is far more informative than the raw count.</w:t>
      </w:r>
    </w:p>
    <w:p>
      <w:pPr>
        <w:spacing w:after="60" w:before="40"/>
      </w:pPr>
      <w:r>
        <w:rPr>
          <w:b/>
          <w:i w:val="0"/>
        </w:rPr>
        <w:t>Step 3: Handling Missing Values</w:t>
      </w:r>
    </w:p>
    <w:p>
      <w:pPr>
        <w:spacing w:after="160" w:before="40"/>
      </w:pPr>
      <w:r>
        <w:rPr>
          <w:b w:val="0"/>
          <w:i w:val="0"/>
        </w:rPr>
        <w:t>Numeric columns with missing values were filled with the median (not mean — financial data is skewed by outliers). Categorical columns were filled with the most common value (mode). The 33 rows where the target itself was missing were dropped entirely — there is nothing to learn from a loan with no known outcome.</w:t>
      </w:r>
    </w:p>
    <w:p>
      <w:pPr>
        <w:spacing w:after="60" w:before="40"/>
      </w:pPr>
      <w:r>
        <w:rPr>
          <w:b/>
          <w:i w:val="0"/>
        </w:rPr>
        <w:t>Step 4: Encoding Categorical Features</w:t>
      </w:r>
    </w:p>
    <w:p>
      <w:pPr>
        <w:spacing w:after="160" w:before="40"/>
      </w:pPr>
      <w:r>
        <w:rPr>
          <w:b w:val="0"/>
          <w:i w:val="0"/>
        </w:rPr>
        <w:t>Machine learning models require numbers. Categorical columns (purpose, home_ownership, verification_status) were one-hot encoded — each category becomes its own binary column. This avoids imposing false numeric ordering (e.g., treating "medical" as numerically "greater than" "car").</w:t>
      </w:r>
    </w:p>
    <w:p>
      <w:pPr>
        <w:spacing w:after="60" w:before="40"/>
      </w:pPr>
      <w:r>
        <w:rPr>
          <w:b/>
          <w:i w:val="0"/>
        </w:rPr>
        <w:t>Step 5: Train/Test Split (80% / 20%)</w:t>
      </w:r>
    </w:p>
    <w:p>
      <w:pPr>
        <w:spacing w:after="160" w:before="40"/>
      </w:pPr>
      <w:r>
        <w:rPr>
          <w:b w:val="0"/>
          <w:i w:val="0"/>
        </w:rPr>
        <w:t>The dataset was split: 1,078,447 rows for training, 269,612 for testing. The split was stratified — both sets contain the same 80/20 class ratio. The test set was never used during training; it exists solely to simulate future, unseen loan applications.</w:t>
      </w:r>
    </w:p>
    <w:p>
      <w:pPr>
        <w:spacing w:after="60" w:before="40"/>
      </w:pPr>
      <w:r>
        <w:rPr>
          <w:b/>
          <w:i w:val="0"/>
        </w:rPr>
        <w:t>Step 6: Feature Scaling</w:t>
      </w:r>
    </w:p>
    <w:p>
      <w:pPr>
        <w:spacing w:after="160" w:before="40"/>
      </w:pPr>
      <w:r>
        <w:rPr>
          <w:b w:val="0"/>
          <w:i w:val="0"/>
        </w:rPr>
        <w:t>StandardScaler was applied to 15 numeric columns, transforming each to have mean=0 and standard deviation=1. This prevents income ($60,000 range) from dominating DTI (0-60 range) simply because its numbers are larger. Critically, the scaler was fit only on training data and then applied to test data — never the reverse.</w:t>
      </w:r>
    </w:p>
    <w:p>
      <w:r>
        <w:br w:type="page"/>
      </w:r>
    </w:p>
    <w:p>
      <w:pPr>
        <w:pStyle w:val="Heading1"/>
        <w:spacing w:before="240" w:after="120"/>
      </w:pPr>
      <w:r>
        <w:rPr>
          <w:color w:val="0D2B55"/>
        </w:rPr>
        <w:t>8. Feature Selection &amp; Statistical Significance</w:t>
      </w:r>
    </w:p>
    <w:p>
      <w:pPr>
        <w:pStyle w:val="Heading2"/>
        <w:spacing w:before="240" w:after="120"/>
      </w:pPr>
      <w:r>
        <w:rPr>
          <w:color w:val="1F497D"/>
        </w:rPr>
        <w:t>8.1  Why Test Feature Significance?</w:t>
      </w:r>
    </w:p>
    <w:p>
      <w:pPr>
        <w:spacing w:after="120" w:before="40"/>
      </w:pPr>
      <w:r>
        <w:rPr>
          <w:b w:val="0"/>
          <w:i w:val="0"/>
        </w:rPr>
        <w:t>Not every feature that is statistically significant is useful to a model. Two features that measure almost the same thing are redundant — including both adds noise without adding information. Multicollinearity (high correlation between features) can also destabilise some models. This section documents how we validated and refined the feature set before modelling.</w:t>
      </w:r>
    </w:p>
    <w:p>
      <w:pPr>
        <w:pStyle w:val="Heading2"/>
        <w:spacing w:before="240" w:after="120"/>
      </w:pPr>
      <w:r>
        <w:rPr>
          <w:color w:val="1F497D"/>
        </w:rPr>
        <w:t>8.2  Multicollinearity: Correlated Feature Pairs</w:t>
      </w:r>
    </w:p>
    <w:p>
      <w:pPr>
        <w:spacing w:after="120" w:before="40"/>
      </w:pPr>
      <w:r>
        <w:rPr>
          <w:b w:val="0"/>
          <w:i w:val="0"/>
        </w:rPr>
        <w:t>A correlation matrix revealed three pairs of highly correlated features: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shd w:val="clear" w:color="auto" w:fill="1F497D"/>
            <w:vAlign w:val="center"/>
          </w:tcPr>
          <w:p>
            <w:pPr>
              <w:jc w:val="center"/>
            </w:pPr>
            <w:r>
              <w:rPr>
                <w:b/>
                <w:color w:val="FFFFFF"/>
                <w:sz w:val="18"/>
              </w:rPr>
              <w:t>Feature 1</w:t>
            </w:r>
          </w:p>
        </w:tc>
        <w:tc>
          <w:tcPr>
            <w:tcW w:type="dxa" w:w="1440"/>
            <w:shd w:val="clear" w:color="auto" w:fill="1F497D"/>
            <w:vAlign w:val="center"/>
          </w:tcPr>
          <w:p>
            <w:pPr>
              <w:jc w:val="center"/>
            </w:pPr>
            <w:r>
              <w:rPr>
                <w:b/>
                <w:color w:val="FFFFFF"/>
                <w:sz w:val="18"/>
              </w:rPr>
              <w:t>Feature 2</w:t>
            </w:r>
          </w:p>
        </w:tc>
        <w:tc>
          <w:tcPr>
            <w:tcW w:type="dxa" w:w="1296"/>
            <w:shd w:val="clear" w:color="auto" w:fill="1F497D"/>
            <w:vAlign w:val="center"/>
          </w:tcPr>
          <w:p>
            <w:pPr>
              <w:jc w:val="center"/>
            </w:pPr>
            <w:r>
              <w:rPr>
                <w:b/>
                <w:color w:val="FFFFFF"/>
                <w:sz w:val="18"/>
              </w:rPr>
              <w:t>Correlation</w:t>
            </w:r>
          </w:p>
        </w:tc>
        <w:tc>
          <w:tcPr>
            <w:tcW w:type="dxa" w:w="3312"/>
            <w:shd w:val="clear" w:color="auto" w:fill="1F497D"/>
            <w:vAlign w:val="center"/>
          </w:tcPr>
          <w:p>
            <w:pPr>
              <w:jc w:val="center"/>
            </w:pPr>
            <w:r>
              <w:rPr>
                <w:b/>
                <w:color w:val="FFFFFF"/>
                <w:sz w:val="18"/>
              </w:rPr>
              <w:t>Problem</w:t>
            </w:r>
          </w:p>
        </w:tc>
        <w:tc>
          <w:tcPr>
            <w:tcW w:type="dxa" w:w="2160"/>
            <w:shd w:val="clear" w:color="auto" w:fill="1F497D"/>
            <w:vAlign w:val="center"/>
          </w:tcPr>
          <w:p>
            <w:pPr>
              <w:jc w:val="center"/>
            </w:pPr>
            <w:r>
              <w:rPr>
                <w:b/>
                <w:color w:val="FFFFFF"/>
                <w:sz w:val="18"/>
              </w:rPr>
              <w:t>Action Taken</w:t>
            </w:r>
          </w:p>
        </w:tc>
      </w:tr>
      <w:tr>
        <w:tc>
          <w:tcPr>
            <w:tcW w:type="dxa" w:w="1440"/>
          </w:tcPr>
          <w:p/>
        </w:tc>
        <w:tc>
          <w:tcPr>
            <w:tcW w:type="dxa" w:w="1440"/>
          </w:tcPr>
          <w:p/>
        </w:tc>
        <w:tc>
          <w:tcPr>
            <w:tcW w:type="dxa" w:w="1296"/>
          </w:tcPr>
          <w:p/>
        </w:tc>
        <w:tc>
          <w:tcPr>
            <w:tcW w:type="dxa" w:w="3312"/>
          </w:tcPr>
          <w:p/>
        </w:tc>
        <w:tc>
          <w:tcPr>
            <w:tcW w:type="dxa" w:w="2160"/>
          </w:tcPr>
          <w:p/>
        </w:tc>
      </w:tr>
      <w:tr>
        <w:tc>
          <w:tcPr>
            <w:tcW w:type="dxa" w:w="1440"/>
          </w:tcPr>
          <w:p/>
        </w:tc>
        <w:tc>
          <w:tcPr>
            <w:tcW w:type="dxa" w:w="1440"/>
          </w:tcPr>
          <w:p/>
        </w:tc>
        <w:tc>
          <w:tcPr>
            <w:tcW w:type="dxa" w:w="1296"/>
          </w:tcPr>
          <w:p/>
        </w:tc>
        <w:tc>
          <w:tcPr>
            <w:tcW w:type="dxa" w:w="3312"/>
          </w:tcPr>
          <w:p/>
        </w:tc>
        <w:tc>
          <w:tcPr>
            <w:tcW w:type="dxa" w:w="2160"/>
          </w:tcPr>
          <w:p/>
        </w:tc>
      </w:tr>
      <w:tr>
        <w:tc>
          <w:tcPr>
            <w:tcW w:type="dxa" w:w="1440"/>
          </w:tcPr>
          <w:p/>
        </w:tc>
        <w:tc>
          <w:tcPr>
            <w:tcW w:type="dxa" w:w="1440"/>
          </w:tcPr>
          <w:p/>
        </w:tc>
        <w:tc>
          <w:tcPr>
            <w:tcW w:type="dxa" w:w="1296"/>
          </w:tcPr>
          <w:p/>
        </w:tc>
        <w:tc>
          <w:tcPr>
            <w:tcW w:type="dxa" w:w="3312"/>
          </w:tcPr>
          <w:p/>
        </w:tc>
        <w:tc>
          <w:tcPr>
            <w:tcW w:type="dxa" w:w="2160"/>
          </w:tcPr>
          <w:p/>
        </w:tc>
      </w:tr>
      <w:tr>
        <w:tc>
          <w:tcPr>
            <w:tcW w:type="dxa" w:w="1440"/>
            <w:vAlign w:val="center"/>
          </w:tcPr>
          <w:p>
            <w:pPr>
              <w:jc w:val="center"/>
            </w:pPr>
            <w:r>
              <w:rPr>
                <w:sz w:val="18"/>
              </w:rPr>
              <w:t>loan_amnt</w:t>
            </w:r>
          </w:p>
        </w:tc>
        <w:tc>
          <w:tcPr>
            <w:tcW w:type="dxa" w:w="1440"/>
            <w:vAlign w:val="center"/>
          </w:tcPr>
          <w:p>
            <w:pPr>
              <w:jc w:val="center"/>
            </w:pPr>
            <w:r>
              <w:rPr>
                <w:sz w:val="18"/>
              </w:rPr>
              <w:t>installment</w:t>
            </w:r>
          </w:p>
        </w:tc>
        <w:tc>
          <w:tcPr>
            <w:tcW w:type="dxa" w:w="1296"/>
            <w:vAlign w:val="center"/>
          </w:tcPr>
          <w:p>
            <w:pPr>
              <w:jc w:val="center"/>
            </w:pPr>
            <w:r>
              <w:rPr>
                <w:sz w:val="18"/>
              </w:rPr>
              <w:t>0.953</w:t>
            </w:r>
          </w:p>
        </w:tc>
        <w:tc>
          <w:tcPr>
            <w:tcW w:type="dxa" w:w="3312"/>
            <w:vAlign w:val="center"/>
          </w:tcPr>
          <w:p>
            <w:pPr>
              <w:jc w:val="center"/>
            </w:pPr>
            <w:r>
              <w:rPr>
                <w:sz w:val="18"/>
              </w:rPr>
              <w:t>Nearly identical — installment is just loan_amnt / term</w:t>
            </w:r>
          </w:p>
        </w:tc>
        <w:tc>
          <w:tcPr>
            <w:tcW w:type="dxa" w:w="2160"/>
            <w:vAlign w:val="center"/>
          </w:tcPr>
          <w:p>
            <w:pPr>
              <w:jc w:val="center"/>
            </w:pPr>
            <w:r>
              <w:rPr>
                <w:sz w:val="18"/>
              </w:rPr>
              <w:t>Dropped installment</w:t>
            </w:r>
          </w:p>
        </w:tc>
      </w:tr>
      <w:tr>
        <w:tc>
          <w:tcPr>
            <w:tcW w:type="dxa" w:w="1440"/>
            <w:shd w:val="clear" w:color="auto" w:fill="EBF2FA"/>
            <w:vAlign w:val="center"/>
          </w:tcPr>
          <w:p>
            <w:pPr>
              <w:jc w:val="center"/>
            </w:pPr>
            <w:r>
              <w:rPr>
                <w:sz w:val="18"/>
              </w:rPr>
              <w:t>int_rate</w:t>
            </w:r>
          </w:p>
        </w:tc>
        <w:tc>
          <w:tcPr>
            <w:tcW w:type="dxa" w:w="1440"/>
            <w:shd w:val="clear" w:color="auto" w:fill="EBF2FA"/>
            <w:vAlign w:val="center"/>
          </w:tcPr>
          <w:p>
            <w:pPr>
              <w:jc w:val="center"/>
            </w:pPr>
            <w:r>
              <w:rPr>
                <w:sz w:val="18"/>
              </w:rPr>
              <w:t>grade</w:t>
            </w:r>
          </w:p>
        </w:tc>
        <w:tc>
          <w:tcPr>
            <w:tcW w:type="dxa" w:w="1296"/>
            <w:shd w:val="clear" w:color="auto" w:fill="EBF2FA"/>
            <w:vAlign w:val="center"/>
          </w:tcPr>
          <w:p>
            <w:pPr>
              <w:jc w:val="center"/>
            </w:pPr>
            <w:r>
              <w:rPr>
                <w:sz w:val="18"/>
              </w:rPr>
              <w:t>0.952</w:t>
            </w:r>
          </w:p>
        </w:tc>
        <w:tc>
          <w:tcPr>
            <w:tcW w:type="dxa" w:w="3312"/>
            <w:shd w:val="clear" w:color="auto" w:fill="EBF2FA"/>
            <w:vAlign w:val="center"/>
          </w:tcPr>
          <w:p>
            <w:pPr>
              <w:jc w:val="center"/>
            </w:pPr>
            <w:r>
              <w:rPr>
                <w:sz w:val="18"/>
              </w:rPr>
              <w:t>Grade encodes interest rate band — near-duplicate</w:t>
            </w:r>
          </w:p>
        </w:tc>
        <w:tc>
          <w:tcPr>
            <w:tcW w:type="dxa" w:w="2160"/>
            <w:shd w:val="clear" w:color="auto" w:fill="EBF2FA"/>
            <w:vAlign w:val="center"/>
          </w:tcPr>
          <w:p>
            <w:pPr>
              <w:jc w:val="center"/>
            </w:pPr>
            <w:r>
              <w:rPr>
                <w:sz w:val="18"/>
              </w:rPr>
              <w:t>Retained int_rate (stronger signal)</w:t>
            </w:r>
          </w:p>
        </w:tc>
      </w:tr>
      <w:tr>
        <w:tc>
          <w:tcPr>
            <w:tcW w:type="dxa" w:w="1440"/>
            <w:vAlign w:val="center"/>
          </w:tcPr>
          <w:p>
            <w:pPr>
              <w:jc w:val="center"/>
            </w:pPr>
            <w:r>
              <w:rPr>
                <w:sz w:val="18"/>
              </w:rPr>
              <w:t>open_acc</w:t>
            </w:r>
          </w:p>
        </w:tc>
        <w:tc>
          <w:tcPr>
            <w:tcW w:type="dxa" w:w="1440"/>
            <w:vAlign w:val="center"/>
          </w:tcPr>
          <w:p>
            <w:pPr>
              <w:jc w:val="center"/>
            </w:pPr>
            <w:r>
              <w:rPr>
                <w:sz w:val="18"/>
              </w:rPr>
              <w:t>total_acc</w:t>
            </w:r>
          </w:p>
        </w:tc>
        <w:tc>
          <w:tcPr>
            <w:tcW w:type="dxa" w:w="1296"/>
            <w:vAlign w:val="center"/>
          </w:tcPr>
          <w:p>
            <w:pPr>
              <w:jc w:val="center"/>
            </w:pPr>
            <w:r>
              <w:rPr>
                <w:sz w:val="18"/>
              </w:rPr>
              <w:t>0.701</w:t>
            </w:r>
          </w:p>
        </w:tc>
        <w:tc>
          <w:tcPr>
            <w:tcW w:type="dxa" w:w="3312"/>
            <w:vAlign w:val="center"/>
          </w:tcPr>
          <w:p>
            <w:pPr>
              <w:jc w:val="center"/>
            </w:pPr>
            <w:r>
              <w:rPr>
                <w:sz w:val="18"/>
              </w:rPr>
              <w:t>total_acc includes closed accounts — lower signal</w:t>
            </w:r>
          </w:p>
        </w:tc>
        <w:tc>
          <w:tcPr>
            <w:tcW w:type="dxa" w:w="2160"/>
            <w:vAlign w:val="center"/>
          </w:tcPr>
          <w:p>
            <w:pPr>
              <w:jc w:val="center"/>
            </w:pPr>
            <w:r>
              <w:rPr>
                <w:sz w:val="18"/>
              </w:rPr>
              <w:t>Dropped total_acc</w:t>
            </w:r>
          </w:p>
        </w:tc>
      </w:tr>
    </w:tbl>
    <w:p>
      <w:pPr>
        <w:spacing w:after="120"/>
      </w:pPr>
    </w:p>
    <w:p>
      <w:pPr>
        <w:pStyle w:val="Heading2"/>
        <w:spacing w:before="240" w:after="120"/>
      </w:pPr>
      <w:r>
        <w:rPr>
          <w:color w:val="1F497D"/>
        </w:rPr>
        <w:t>8.3  VIF Analysis</w:t>
      </w:r>
    </w:p>
    <w:p>
      <w:pPr>
        <w:spacing w:after="120" w:before="40"/>
      </w:pPr>
      <w:r>
        <w:rPr>
          <w:b w:val="0"/>
          <w:i w:val="0"/>
        </w:rPr>
        <w:t>Variance Inflation Factor (VIF) quantifies how much each feature's variance is explained by all other features. VIF &gt; 10 indicates severe multicollinearity. Tree-based models (Random Forest, XGBoost) are naturally resistant to multicollinearity, so int_rate (VIF=75) was retained despite its high VIF — it carries the strongest individual signal.</w:t>
      </w:r>
    </w:p>
    <w:p>
      <w:pPr>
        <w:jc w:val="center"/>
      </w:pPr>
      <w:r>
        <w:drawing>
          <wp:inline xmlns:a="http://schemas.openxmlformats.org/drawingml/2006/main" xmlns:pic="http://schemas.openxmlformats.org/drawingml/2006/picture">
            <wp:extent cx="5029200" cy="3592286"/>
            <wp:docPr id="8" name="Picture 8"/>
            <wp:cNvGraphicFramePr>
              <a:graphicFrameLocks noChangeAspect="1"/>
            </wp:cNvGraphicFramePr>
            <a:graphic>
              <a:graphicData uri="http://schemas.openxmlformats.org/drawingml/2006/picture">
                <pic:pic>
                  <pic:nvPicPr>
                    <pic:cNvPr id="0" name="correlation_matrix.png"/>
                    <pic:cNvPicPr/>
                  </pic:nvPicPr>
                  <pic:blipFill>
                    <a:blip r:embed="rId16"/>
                    <a:stretch>
                      <a:fillRect/>
                    </a:stretch>
                  </pic:blipFill>
                  <pic:spPr>
                    <a:xfrm>
                      <a:off x="0" y="0"/>
                      <a:ext cx="5029200" cy="3592286"/>
                    </a:xfrm>
                    <a:prstGeom prst="rect"/>
                  </pic:spPr>
                </pic:pic>
              </a:graphicData>
            </a:graphic>
          </wp:inline>
        </w:drawing>
      </w:r>
    </w:p>
    <w:p>
      <w:pPr>
        <w:spacing w:after="200"/>
        <w:jc w:val="center"/>
      </w:pPr>
      <w:r>
        <w:rPr>
          <w:i/>
          <w:color w:val="555555"/>
          <w:sz w:val="18"/>
        </w:rPr>
        <w:t>Figure 4: Feature correlation matrix — darker red/blue = higher correlation</w:t>
      </w:r>
    </w:p>
    <w:p>
      <w:pPr>
        <w:pStyle w:val="Heading2"/>
        <w:spacing w:before="240" w:after="120"/>
      </w:pPr>
      <w:r>
        <w:rPr>
          <w:color w:val="1F497D"/>
        </w:rPr>
        <w:t>8.4  Final Feature List (34 Features)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1F497D"/>
            <w:vAlign w:val="center"/>
          </w:tcPr>
          <w:p>
            <w:pPr>
              <w:jc w:val="center"/>
            </w:pPr>
            <w:r>
              <w:rPr>
                <w:b/>
                <w:color w:val="FFFFFF"/>
                <w:sz w:val="18"/>
              </w:rPr>
              <w:t>Feature</w:t>
            </w:r>
          </w:p>
        </w:tc>
        <w:tc>
          <w:tcPr>
            <w:tcW w:type="dxa" w:w="1440"/>
            <w:shd w:val="clear" w:color="auto" w:fill="1F497D"/>
            <w:vAlign w:val="center"/>
          </w:tcPr>
          <w:p>
            <w:pPr>
              <w:jc w:val="center"/>
            </w:pPr>
            <w:r>
              <w:rPr>
                <w:b/>
                <w:color w:val="FFFFFF"/>
                <w:sz w:val="18"/>
              </w:rPr>
              <w:t>Type</w:t>
            </w:r>
          </w:p>
        </w:tc>
        <w:tc>
          <w:tcPr>
            <w:tcW w:type="dxa" w:w="3600"/>
            <w:shd w:val="clear" w:color="auto" w:fill="1F497D"/>
            <w:vAlign w:val="center"/>
          </w:tcPr>
          <w:p>
            <w:pPr>
              <w:jc w:val="center"/>
            </w:pPr>
            <w:r>
              <w:rPr>
                <w:b/>
                <w:color w:val="FFFFFF"/>
                <w:sz w:val="18"/>
              </w:rPr>
              <w:t>Description</w:t>
            </w:r>
          </w:p>
        </w:tc>
        <w:tc>
          <w:tcPr>
            <w:tcW w:type="dxa" w:w="1440"/>
            <w:shd w:val="clear" w:color="auto" w:fill="1F497D"/>
            <w:vAlign w:val="center"/>
          </w:tcPr>
          <w:p>
            <w:pPr>
              <w:jc w:val="center"/>
            </w:pPr>
            <w:r>
              <w:rPr>
                <w:b/>
                <w:color w:val="FFFFFF"/>
                <w:sz w:val="18"/>
              </w:rPr>
              <w:t>Hypothesis</w:t>
            </w: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tcPr>
          <w:p/>
        </w:tc>
        <w:tc>
          <w:tcPr>
            <w:tcW w:type="dxa" w:w="1440"/>
          </w:tcPr>
          <w:p/>
        </w:tc>
        <w:tc>
          <w:tcPr>
            <w:tcW w:type="dxa" w:w="3600"/>
          </w:tcPr>
          <w:p/>
        </w:tc>
        <w:tc>
          <w:tcPr>
            <w:tcW w:type="dxa" w:w="1440"/>
          </w:tcPr>
          <w:p/>
        </w:tc>
      </w:tr>
      <w:tr>
        <w:tc>
          <w:tcPr>
            <w:tcW w:type="dxa" w:w="2304"/>
            <w:vAlign w:val="center"/>
          </w:tcPr>
          <w:p>
            <w:pPr>
              <w:jc w:val="center"/>
            </w:pPr>
            <w:r>
              <w:rPr>
                <w:sz w:val="18"/>
              </w:rPr>
              <w:t>dti</w:t>
            </w:r>
          </w:p>
        </w:tc>
        <w:tc>
          <w:tcPr>
            <w:tcW w:type="dxa" w:w="1440"/>
            <w:vAlign w:val="center"/>
          </w:tcPr>
          <w:p>
            <w:pPr>
              <w:jc w:val="center"/>
            </w:pPr>
            <w:r>
              <w:rPr>
                <w:sz w:val="18"/>
              </w:rPr>
              <w:t>Numeric</w:t>
            </w:r>
          </w:p>
        </w:tc>
        <w:tc>
          <w:tcPr>
            <w:tcW w:type="dxa" w:w="3600"/>
            <w:vAlign w:val="center"/>
          </w:tcPr>
          <w:p>
            <w:pPr>
              <w:jc w:val="center"/>
            </w:pPr>
            <w:r>
              <w:rPr>
                <w:sz w:val="18"/>
              </w:rPr>
              <w:t>Debt-to-income ratio</w:t>
            </w:r>
          </w:p>
        </w:tc>
        <w:tc>
          <w:tcPr>
            <w:tcW w:type="dxa" w:w="1440"/>
            <w:vAlign w:val="center"/>
          </w:tcPr>
          <w:p>
            <w:pPr>
              <w:jc w:val="center"/>
            </w:pPr>
            <w:r>
              <w:rPr>
                <w:sz w:val="18"/>
              </w:rPr>
              <w:t>H1</w:t>
            </w:r>
          </w:p>
        </w:tc>
      </w:tr>
      <w:tr>
        <w:tc>
          <w:tcPr>
            <w:tcW w:type="dxa" w:w="2304"/>
            <w:shd w:val="clear" w:color="auto" w:fill="EBF2FA"/>
            <w:vAlign w:val="center"/>
          </w:tcPr>
          <w:p>
            <w:pPr>
              <w:jc w:val="center"/>
            </w:pPr>
            <w:r>
              <w:rPr>
                <w:sz w:val="18"/>
              </w:rPr>
              <w:t>annual_inc</w:t>
            </w:r>
          </w:p>
        </w:tc>
        <w:tc>
          <w:tcPr>
            <w:tcW w:type="dxa" w:w="1440"/>
            <w:shd w:val="clear" w:color="auto" w:fill="EBF2FA"/>
            <w:vAlign w:val="center"/>
          </w:tcPr>
          <w:p>
            <w:pPr>
              <w:jc w:val="center"/>
            </w:pPr>
            <w:r>
              <w:rPr>
                <w:sz w:val="18"/>
              </w:rPr>
              <w:t>Numeric</w:t>
            </w:r>
          </w:p>
        </w:tc>
        <w:tc>
          <w:tcPr>
            <w:tcW w:type="dxa" w:w="3600"/>
            <w:shd w:val="clear" w:color="auto" w:fill="EBF2FA"/>
            <w:vAlign w:val="center"/>
          </w:tcPr>
          <w:p>
            <w:pPr>
              <w:jc w:val="center"/>
            </w:pPr>
            <w:r>
              <w:rPr>
                <w:sz w:val="18"/>
              </w:rPr>
              <w:t>Annual income (capped at 99th percentile)</w:t>
            </w:r>
          </w:p>
        </w:tc>
        <w:tc>
          <w:tcPr>
            <w:tcW w:type="dxa" w:w="1440"/>
            <w:shd w:val="clear" w:color="auto" w:fill="EBF2FA"/>
            <w:vAlign w:val="center"/>
          </w:tcPr>
          <w:p>
            <w:pPr>
              <w:jc w:val="center"/>
            </w:pPr>
            <w:r>
              <w:rPr>
                <w:sz w:val="18"/>
              </w:rPr>
              <w:t>H4</w:t>
            </w:r>
          </w:p>
        </w:tc>
      </w:tr>
      <w:tr>
        <w:tc>
          <w:tcPr>
            <w:tcW w:type="dxa" w:w="2304"/>
            <w:vAlign w:val="center"/>
          </w:tcPr>
          <w:p>
            <w:pPr>
              <w:jc w:val="center"/>
            </w:pPr>
            <w:r>
              <w:rPr>
                <w:sz w:val="18"/>
              </w:rPr>
              <w:t>loan_amnt</w:t>
            </w:r>
          </w:p>
        </w:tc>
        <w:tc>
          <w:tcPr>
            <w:tcW w:type="dxa" w:w="1440"/>
            <w:vAlign w:val="center"/>
          </w:tcPr>
          <w:p>
            <w:pPr>
              <w:jc w:val="center"/>
            </w:pPr>
            <w:r>
              <w:rPr>
                <w:sz w:val="18"/>
              </w:rPr>
              <w:t>Numeric</w:t>
            </w:r>
          </w:p>
        </w:tc>
        <w:tc>
          <w:tcPr>
            <w:tcW w:type="dxa" w:w="3600"/>
            <w:vAlign w:val="center"/>
          </w:tcPr>
          <w:p>
            <w:pPr>
              <w:jc w:val="center"/>
            </w:pPr>
            <w:r>
              <w:rPr>
                <w:sz w:val="18"/>
              </w:rPr>
              <w:t>Requested loan amount</w:t>
            </w:r>
          </w:p>
        </w:tc>
        <w:tc>
          <w:tcPr>
            <w:tcW w:type="dxa" w:w="1440"/>
            <w:vAlign w:val="center"/>
          </w:tcPr>
          <w:p>
            <w:pPr>
              <w:jc w:val="center"/>
            </w:pPr>
            <w:r>
              <w:rPr>
                <w:sz w:val="18"/>
              </w:rPr>
              <w:t>—</w:t>
            </w:r>
          </w:p>
        </w:tc>
      </w:tr>
      <w:tr>
        <w:tc>
          <w:tcPr>
            <w:tcW w:type="dxa" w:w="2304"/>
            <w:shd w:val="clear" w:color="auto" w:fill="EBF2FA"/>
            <w:vAlign w:val="center"/>
          </w:tcPr>
          <w:p>
            <w:pPr>
              <w:jc w:val="center"/>
            </w:pPr>
            <w:r>
              <w:rPr>
                <w:sz w:val="18"/>
              </w:rPr>
              <w:t>int_rate</w:t>
            </w:r>
          </w:p>
        </w:tc>
        <w:tc>
          <w:tcPr>
            <w:tcW w:type="dxa" w:w="1440"/>
            <w:shd w:val="clear" w:color="auto" w:fill="EBF2FA"/>
            <w:vAlign w:val="center"/>
          </w:tcPr>
          <w:p>
            <w:pPr>
              <w:jc w:val="center"/>
            </w:pPr>
            <w:r>
              <w:rPr>
                <w:sz w:val="18"/>
              </w:rPr>
              <w:t>Numeric</w:t>
            </w:r>
          </w:p>
        </w:tc>
        <w:tc>
          <w:tcPr>
            <w:tcW w:type="dxa" w:w="3600"/>
            <w:shd w:val="clear" w:color="auto" w:fill="EBF2FA"/>
            <w:vAlign w:val="center"/>
          </w:tcPr>
          <w:p>
            <w:pPr>
              <w:jc w:val="center"/>
            </w:pPr>
            <w:r>
              <w:rPr>
                <w:sz w:val="18"/>
              </w:rPr>
              <w:t>Interest rate assigned to the loan</w:t>
            </w:r>
          </w:p>
        </w:tc>
        <w:tc>
          <w:tcPr>
            <w:tcW w:type="dxa" w:w="1440"/>
            <w:shd w:val="clear" w:color="auto" w:fill="EBF2FA"/>
            <w:vAlign w:val="center"/>
          </w:tcPr>
          <w:p>
            <w:pPr>
              <w:jc w:val="center"/>
            </w:pPr>
            <w:r>
              <w:rPr>
                <w:sz w:val="18"/>
              </w:rPr>
              <w:t>—</w:t>
            </w:r>
          </w:p>
        </w:tc>
      </w:tr>
      <w:tr>
        <w:tc>
          <w:tcPr>
            <w:tcW w:type="dxa" w:w="2304"/>
            <w:vAlign w:val="center"/>
          </w:tcPr>
          <w:p>
            <w:pPr>
              <w:jc w:val="center"/>
            </w:pPr>
            <w:r>
              <w:rPr>
                <w:sz w:val="18"/>
              </w:rPr>
              <w:t>grade</w:t>
            </w:r>
          </w:p>
        </w:tc>
        <w:tc>
          <w:tcPr>
            <w:tcW w:type="dxa" w:w="1440"/>
            <w:vAlign w:val="center"/>
          </w:tcPr>
          <w:p>
            <w:pPr>
              <w:jc w:val="center"/>
            </w:pPr>
            <w:r>
              <w:rPr>
                <w:sz w:val="18"/>
              </w:rPr>
              <w:t>Numeric</w:t>
            </w:r>
          </w:p>
        </w:tc>
        <w:tc>
          <w:tcPr>
            <w:tcW w:type="dxa" w:w="3600"/>
            <w:vAlign w:val="center"/>
          </w:tcPr>
          <w:p>
            <w:pPr>
              <w:jc w:val="center"/>
            </w:pPr>
            <w:r>
              <w:rPr>
                <w:sz w:val="18"/>
              </w:rPr>
              <w:t>LendingClub risk grade (A=1 to G=7)</w:t>
            </w:r>
          </w:p>
        </w:tc>
        <w:tc>
          <w:tcPr>
            <w:tcW w:type="dxa" w:w="1440"/>
            <w:vAlign w:val="center"/>
          </w:tcPr>
          <w:p>
            <w:pPr>
              <w:jc w:val="center"/>
            </w:pPr>
            <w:r>
              <w:rPr>
                <w:sz w:val="18"/>
              </w:rPr>
              <w:t>—</w:t>
            </w:r>
          </w:p>
        </w:tc>
      </w:tr>
      <w:tr>
        <w:tc>
          <w:tcPr>
            <w:tcW w:type="dxa" w:w="2304"/>
            <w:shd w:val="clear" w:color="auto" w:fill="EBF2FA"/>
            <w:vAlign w:val="center"/>
          </w:tcPr>
          <w:p>
            <w:pPr>
              <w:jc w:val="center"/>
            </w:pPr>
            <w:r>
              <w:rPr>
                <w:sz w:val="18"/>
              </w:rPr>
              <w:t>emp_length</w:t>
            </w:r>
          </w:p>
        </w:tc>
        <w:tc>
          <w:tcPr>
            <w:tcW w:type="dxa" w:w="1440"/>
            <w:shd w:val="clear" w:color="auto" w:fill="EBF2FA"/>
            <w:vAlign w:val="center"/>
          </w:tcPr>
          <w:p>
            <w:pPr>
              <w:jc w:val="center"/>
            </w:pPr>
            <w:r>
              <w:rPr>
                <w:sz w:val="18"/>
              </w:rPr>
              <w:t>Numeric</w:t>
            </w:r>
          </w:p>
        </w:tc>
        <w:tc>
          <w:tcPr>
            <w:tcW w:type="dxa" w:w="3600"/>
            <w:shd w:val="clear" w:color="auto" w:fill="EBF2FA"/>
            <w:vAlign w:val="center"/>
          </w:tcPr>
          <w:p>
            <w:pPr>
              <w:jc w:val="center"/>
            </w:pPr>
            <w:r>
              <w:rPr>
                <w:sz w:val="18"/>
              </w:rPr>
              <w:t>Employment length in years (0-10)</w:t>
            </w:r>
          </w:p>
        </w:tc>
        <w:tc>
          <w:tcPr>
            <w:tcW w:type="dxa" w:w="1440"/>
            <w:shd w:val="clear" w:color="auto" w:fill="EBF2FA"/>
            <w:vAlign w:val="center"/>
          </w:tcPr>
          <w:p>
            <w:pPr>
              <w:jc w:val="center"/>
            </w:pPr>
            <w:r>
              <w:rPr>
                <w:sz w:val="18"/>
              </w:rPr>
              <w:t>—</w:t>
            </w:r>
          </w:p>
        </w:tc>
      </w:tr>
      <w:tr>
        <w:tc>
          <w:tcPr>
            <w:tcW w:type="dxa" w:w="2304"/>
            <w:vAlign w:val="center"/>
          </w:tcPr>
          <w:p>
            <w:pPr>
              <w:jc w:val="center"/>
            </w:pPr>
            <w:r>
              <w:rPr>
                <w:sz w:val="18"/>
              </w:rPr>
              <w:t>open_acc</w:t>
            </w:r>
          </w:p>
        </w:tc>
        <w:tc>
          <w:tcPr>
            <w:tcW w:type="dxa" w:w="1440"/>
            <w:vAlign w:val="center"/>
          </w:tcPr>
          <w:p>
            <w:pPr>
              <w:jc w:val="center"/>
            </w:pPr>
            <w:r>
              <w:rPr>
                <w:sz w:val="18"/>
              </w:rPr>
              <w:t>Numeric</w:t>
            </w:r>
          </w:p>
        </w:tc>
        <w:tc>
          <w:tcPr>
            <w:tcW w:type="dxa" w:w="3600"/>
            <w:vAlign w:val="center"/>
          </w:tcPr>
          <w:p>
            <w:pPr>
              <w:jc w:val="center"/>
            </w:pPr>
            <w:r>
              <w:rPr>
                <w:sz w:val="18"/>
              </w:rPr>
              <w:t>Number of open credit lines</w:t>
            </w:r>
          </w:p>
        </w:tc>
        <w:tc>
          <w:tcPr>
            <w:tcW w:type="dxa" w:w="1440"/>
            <w:vAlign w:val="center"/>
          </w:tcPr>
          <w:p>
            <w:pPr>
              <w:jc w:val="center"/>
            </w:pPr>
            <w:r>
              <w:rPr>
                <w:sz w:val="18"/>
              </w:rPr>
              <w:t>—</w:t>
            </w:r>
          </w:p>
        </w:tc>
      </w:tr>
      <w:tr>
        <w:tc>
          <w:tcPr>
            <w:tcW w:type="dxa" w:w="2304"/>
            <w:shd w:val="clear" w:color="auto" w:fill="EBF2FA"/>
            <w:vAlign w:val="center"/>
          </w:tcPr>
          <w:p>
            <w:pPr>
              <w:jc w:val="center"/>
            </w:pPr>
            <w:r>
              <w:rPr>
                <w:sz w:val="18"/>
              </w:rPr>
              <w:t>revol_bal</w:t>
            </w:r>
          </w:p>
        </w:tc>
        <w:tc>
          <w:tcPr>
            <w:tcW w:type="dxa" w:w="1440"/>
            <w:shd w:val="clear" w:color="auto" w:fill="EBF2FA"/>
            <w:vAlign w:val="center"/>
          </w:tcPr>
          <w:p>
            <w:pPr>
              <w:jc w:val="center"/>
            </w:pPr>
            <w:r>
              <w:rPr>
                <w:sz w:val="18"/>
              </w:rPr>
              <w:t>Numeric</w:t>
            </w:r>
          </w:p>
        </w:tc>
        <w:tc>
          <w:tcPr>
            <w:tcW w:type="dxa" w:w="3600"/>
            <w:shd w:val="clear" w:color="auto" w:fill="EBF2FA"/>
            <w:vAlign w:val="center"/>
          </w:tcPr>
          <w:p>
            <w:pPr>
              <w:jc w:val="center"/>
            </w:pPr>
            <w:r>
              <w:rPr>
                <w:sz w:val="18"/>
              </w:rPr>
              <w:t>Total revolving balance</w:t>
            </w:r>
          </w:p>
        </w:tc>
        <w:tc>
          <w:tcPr>
            <w:tcW w:type="dxa" w:w="1440"/>
            <w:shd w:val="clear" w:color="auto" w:fill="EBF2FA"/>
            <w:vAlign w:val="center"/>
          </w:tcPr>
          <w:p>
            <w:pPr>
              <w:jc w:val="center"/>
            </w:pPr>
            <w:r>
              <w:rPr>
                <w:sz w:val="18"/>
              </w:rPr>
              <w:t>—</w:t>
            </w:r>
          </w:p>
        </w:tc>
      </w:tr>
      <w:tr>
        <w:tc>
          <w:tcPr>
            <w:tcW w:type="dxa" w:w="2304"/>
            <w:vAlign w:val="center"/>
          </w:tcPr>
          <w:p>
            <w:pPr>
              <w:jc w:val="center"/>
            </w:pPr>
            <w:r>
              <w:rPr>
                <w:sz w:val="18"/>
              </w:rPr>
              <w:t>revol_util</w:t>
            </w:r>
          </w:p>
        </w:tc>
        <w:tc>
          <w:tcPr>
            <w:tcW w:type="dxa" w:w="1440"/>
            <w:vAlign w:val="center"/>
          </w:tcPr>
          <w:p>
            <w:pPr>
              <w:jc w:val="center"/>
            </w:pPr>
            <w:r>
              <w:rPr>
                <w:sz w:val="18"/>
              </w:rPr>
              <w:t>Numeric</w:t>
            </w:r>
          </w:p>
        </w:tc>
        <w:tc>
          <w:tcPr>
            <w:tcW w:type="dxa" w:w="3600"/>
            <w:vAlign w:val="center"/>
          </w:tcPr>
          <w:p>
            <w:pPr>
              <w:jc w:val="center"/>
            </w:pPr>
            <w:r>
              <w:rPr>
                <w:sz w:val="18"/>
              </w:rPr>
              <w:t>Revolving line utilisation rate (%)</w:t>
            </w:r>
          </w:p>
        </w:tc>
        <w:tc>
          <w:tcPr>
            <w:tcW w:type="dxa" w:w="1440"/>
            <w:vAlign w:val="center"/>
          </w:tcPr>
          <w:p>
            <w:pPr>
              <w:jc w:val="center"/>
            </w:pPr>
            <w:r>
              <w:rPr>
                <w:sz w:val="18"/>
              </w:rPr>
              <w:t>—</w:t>
            </w:r>
          </w:p>
        </w:tc>
      </w:tr>
      <w:tr>
        <w:tc>
          <w:tcPr>
            <w:tcW w:type="dxa" w:w="2304"/>
            <w:shd w:val="clear" w:color="auto" w:fill="EBF2FA"/>
            <w:vAlign w:val="center"/>
          </w:tcPr>
          <w:p>
            <w:pPr>
              <w:jc w:val="center"/>
            </w:pPr>
            <w:r>
              <w:rPr>
                <w:sz w:val="18"/>
              </w:rPr>
              <w:t>mort_acc</w:t>
            </w:r>
          </w:p>
        </w:tc>
        <w:tc>
          <w:tcPr>
            <w:tcW w:type="dxa" w:w="1440"/>
            <w:shd w:val="clear" w:color="auto" w:fill="EBF2FA"/>
            <w:vAlign w:val="center"/>
          </w:tcPr>
          <w:p>
            <w:pPr>
              <w:jc w:val="center"/>
            </w:pPr>
            <w:r>
              <w:rPr>
                <w:sz w:val="18"/>
              </w:rPr>
              <w:t>Numeric</w:t>
            </w:r>
          </w:p>
        </w:tc>
        <w:tc>
          <w:tcPr>
            <w:tcW w:type="dxa" w:w="3600"/>
            <w:shd w:val="clear" w:color="auto" w:fill="EBF2FA"/>
            <w:vAlign w:val="center"/>
          </w:tcPr>
          <w:p>
            <w:pPr>
              <w:jc w:val="center"/>
            </w:pPr>
            <w:r>
              <w:rPr>
                <w:sz w:val="18"/>
              </w:rPr>
              <w:t>Number of mortgage accounts</w:t>
            </w:r>
          </w:p>
        </w:tc>
        <w:tc>
          <w:tcPr>
            <w:tcW w:type="dxa" w:w="1440"/>
            <w:shd w:val="clear" w:color="auto" w:fill="EBF2FA"/>
            <w:vAlign w:val="center"/>
          </w:tcPr>
          <w:p>
            <w:pPr>
              <w:jc w:val="center"/>
            </w:pPr>
            <w:r>
              <w:rPr>
                <w:sz w:val="18"/>
              </w:rPr>
              <w:t>—</w:t>
            </w:r>
          </w:p>
        </w:tc>
      </w:tr>
      <w:tr>
        <w:tc>
          <w:tcPr>
            <w:tcW w:type="dxa" w:w="2304"/>
            <w:vAlign w:val="center"/>
          </w:tcPr>
          <w:p>
            <w:pPr>
              <w:jc w:val="center"/>
            </w:pPr>
            <w:r>
              <w:rPr>
                <w:sz w:val="18"/>
              </w:rPr>
              <w:t>delinq_2yrs</w:t>
            </w:r>
          </w:p>
        </w:tc>
        <w:tc>
          <w:tcPr>
            <w:tcW w:type="dxa" w:w="1440"/>
            <w:vAlign w:val="center"/>
          </w:tcPr>
          <w:p>
            <w:pPr>
              <w:jc w:val="center"/>
            </w:pPr>
            <w:r>
              <w:rPr>
                <w:sz w:val="18"/>
              </w:rPr>
              <w:t>Numeric</w:t>
            </w:r>
          </w:p>
        </w:tc>
        <w:tc>
          <w:tcPr>
            <w:tcW w:type="dxa" w:w="3600"/>
            <w:vAlign w:val="center"/>
          </w:tcPr>
          <w:p>
            <w:pPr>
              <w:jc w:val="center"/>
            </w:pPr>
            <w:r>
              <w:rPr>
                <w:sz w:val="18"/>
              </w:rPr>
              <w:t>Delinquencies in last 2 years</w:t>
            </w:r>
          </w:p>
        </w:tc>
        <w:tc>
          <w:tcPr>
            <w:tcW w:type="dxa" w:w="1440"/>
            <w:vAlign w:val="center"/>
          </w:tcPr>
          <w:p>
            <w:pPr>
              <w:jc w:val="center"/>
            </w:pPr>
            <w:r>
              <w:rPr>
                <w:sz w:val="18"/>
              </w:rPr>
              <w:t>—</w:t>
            </w:r>
          </w:p>
        </w:tc>
      </w:tr>
      <w:tr>
        <w:tc>
          <w:tcPr>
            <w:tcW w:type="dxa" w:w="2304"/>
            <w:shd w:val="clear" w:color="auto" w:fill="EBF2FA"/>
            <w:vAlign w:val="center"/>
          </w:tcPr>
          <w:p>
            <w:pPr>
              <w:jc w:val="center"/>
            </w:pPr>
            <w:r>
              <w:rPr>
                <w:sz w:val="18"/>
              </w:rPr>
              <w:t>inq_last_6mths</w:t>
            </w:r>
          </w:p>
        </w:tc>
        <w:tc>
          <w:tcPr>
            <w:tcW w:type="dxa" w:w="1440"/>
            <w:shd w:val="clear" w:color="auto" w:fill="EBF2FA"/>
            <w:vAlign w:val="center"/>
          </w:tcPr>
          <w:p>
            <w:pPr>
              <w:jc w:val="center"/>
            </w:pPr>
            <w:r>
              <w:rPr>
                <w:sz w:val="18"/>
              </w:rPr>
              <w:t>Numeric</w:t>
            </w:r>
          </w:p>
        </w:tc>
        <w:tc>
          <w:tcPr>
            <w:tcW w:type="dxa" w:w="3600"/>
            <w:shd w:val="clear" w:color="auto" w:fill="EBF2FA"/>
            <w:vAlign w:val="center"/>
          </w:tcPr>
          <w:p>
            <w:pPr>
              <w:jc w:val="center"/>
            </w:pPr>
            <w:r>
              <w:rPr>
                <w:sz w:val="18"/>
              </w:rPr>
              <w:t>Credit enquiries in last 6 months</w:t>
            </w:r>
          </w:p>
        </w:tc>
        <w:tc>
          <w:tcPr>
            <w:tcW w:type="dxa" w:w="1440"/>
            <w:shd w:val="clear" w:color="auto" w:fill="EBF2FA"/>
            <w:vAlign w:val="center"/>
          </w:tcPr>
          <w:p>
            <w:pPr>
              <w:jc w:val="center"/>
            </w:pPr>
            <w:r>
              <w:rPr>
                <w:sz w:val="18"/>
              </w:rPr>
              <w:t>—</w:t>
            </w:r>
          </w:p>
        </w:tc>
      </w:tr>
      <w:tr>
        <w:tc>
          <w:tcPr>
            <w:tcW w:type="dxa" w:w="2304"/>
            <w:vAlign w:val="center"/>
          </w:tcPr>
          <w:p>
            <w:pPr>
              <w:jc w:val="center"/>
            </w:pPr>
            <w:r>
              <w:rPr>
                <w:sz w:val="18"/>
              </w:rPr>
              <w:t>credit_history_years</w:t>
            </w:r>
          </w:p>
        </w:tc>
        <w:tc>
          <w:tcPr>
            <w:tcW w:type="dxa" w:w="1440"/>
            <w:vAlign w:val="center"/>
          </w:tcPr>
          <w:p>
            <w:pPr>
              <w:jc w:val="center"/>
            </w:pPr>
            <w:r>
              <w:rPr>
                <w:sz w:val="18"/>
              </w:rPr>
              <w:t>Engineered</w:t>
            </w:r>
          </w:p>
        </w:tc>
        <w:tc>
          <w:tcPr>
            <w:tcW w:type="dxa" w:w="3600"/>
            <w:vAlign w:val="center"/>
          </w:tcPr>
          <w:p>
            <w:pPr>
              <w:jc w:val="center"/>
            </w:pPr>
            <w:r>
              <w:rPr>
                <w:sz w:val="18"/>
              </w:rPr>
              <w:t>Years since earliest credit line</w:t>
            </w:r>
          </w:p>
        </w:tc>
        <w:tc>
          <w:tcPr>
            <w:tcW w:type="dxa" w:w="1440"/>
            <w:vAlign w:val="center"/>
          </w:tcPr>
          <w:p>
            <w:pPr>
              <w:jc w:val="center"/>
            </w:pPr>
            <w:r>
              <w:rPr>
                <w:sz w:val="18"/>
              </w:rPr>
              <w:t>H2</w:t>
            </w:r>
          </w:p>
        </w:tc>
      </w:tr>
      <w:tr>
        <w:tc>
          <w:tcPr>
            <w:tcW w:type="dxa" w:w="2304"/>
            <w:shd w:val="clear" w:color="auto" w:fill="EBF2FA"/>
            <w:vAlign w:val="center"/>
          </w:tcPr>
          <w:p>
            <w:pPr>
              <w:jc w:val="center"/>
            </w:pPr>
            <w:r>
              <w:rPr>
                <w:sz w:val="18"/>
              </w:rPr>
              <w:t>has_derogatory</w:t>
            </w:r>
          </w:p>
        </w:tc>
        <w:tc>
          <w:tcPr>
            <w:tcW w:type="dxa" w:w="1440"/>
            <w:shd w:val="clear" w:color="auto" w:fill="EBF2FA"/>
            <w:vAlign w:val="center"/>
          </w:tcPr>
          <w:p>
            <w:pPr>
              <w:jc w:val="center"/>
            </w:pPr>
            <w:r>
              <w:rPr>
                <w:sz w:val="18"/>
              </w:rPr>
              <w:t>Engineered</w:t>
            </w:r>
          </w:p>
        </w:tc>
        <w:tc>
          <w:tcPr>
            <w:tcW w:type="dxa" w:w="3600"/>
            <w:shd w:val="clear" w:color="auto" w:fill="EBF2FA"/>
            <w:vAlign w:val="center"/>
          </w:tcPr>
          <w:p>
            <w:pPr>
              <w:jc w:val="center"/>
            </w:pPr>
            <w:r>
              <w:rPr>
                <w:sz w:val="18"/>
              </w:rPr>
              <w:t>Binary: any public derogatory records?</w:t>
            </w:r>
          </w:p>
        </w:tc>
        <w:tc>
          <w:tcPr>
            <w:tcW w:type="dxa" w:w="1440"/>
            <w:shd w:val="clear" w:color="auto" w:fill="EBF2FA"/>
            <w:vAlign w:val="center"/>
          </w:tcPr>
          <w:p>
            <w:pPr>
              <w:jc w:val="center"/>
            </w:pPr>
            <w:r>
              <w:rPr>
                <w:sz w:val="18"/>
              </w:rPr>
              <w:t>H5</w:t>
            </w:r>
          </w:p>
        </w:tc>
      </w:tr>
      <w:tr>
        <w:tc>
          <w:tcPr>
            <w:tcW w:type="dxa" w:w="2304"/>
            <w:vAlign w:val="center"/>
          </w:tcPr>
          <w:p>
            <w:pPr>
              <w:jc w:val="center"/>
            </w:pPr>
            <w:r>
              <w:rPr>
                <w:sz w:val="18"/>
              </w:rPr>
              <w:t>purpose_*</w:t>
            </w:r>
          </w:p>
        </w:tc>
        <w:tc>
          <w:tcPr>
            <w:tcW w:type="dxa" w:w="1440"/>
            <w:vAlign w:val="center"/>
          </w:tcPr>
          <w:p>
            <w:pPr>
              <w:jc w:val="center"/>
            </w:pPr>
            <w:r>
              <w:rPr>
                <w:sz w:val="18"/>
              </w:rPr>
              <w:t>Encoded</w:t>
            </w:r>
          </w:p>
        </w:tc>
        <w:tc>
          <w:tcPr>
            <w:tcW w:type="dxa" w:w="3600"/>
            <w:vAlign w:val="center"/>
          </w:tcPr>
          <w:p>
            <w:pPr>
              <w:jc w:val="center"/>
            </w:pPr>
            <w:r>
              <w:rPr>
                <w:sz w:val="18"/>
              </w:rPr>
              <w:t>14 binary columns from loan purpose</w:t>
            </w:r>
          </w:p>
        </w:tc>
        <w:tc>
          <w:tcPr>
            <w:tcW w:type="dxa" w:w="1440"/>
            <w:vAlign w:val="center"/>
          </w:tcPr>
          <w:p>
            <w:pPr>
              <w:jc w:val="center"/>
            </w:pPr>
            <w:r>
              <w:rPr>
                <w:sz w:val="18"/>
              </w:rPr>
              <w:t>H3</w:t>
            </w:r>
          </w:p>
        </w:tc>
      </w:tr>
      <w:tr>
        <w:tc>
          <w:tcPr>
            <w:tcW w:type="dxa" w:w="2304"/>
            <w:shd w:val="clear" w:color="auto" w:fill="EBF2FA"/>
            <w:vAlign w:val="center"/>
          </w:tcPr>
          <w:p>
            <w:pPr>
              <w:jc w:val="center"/>
            </w:pPr>
            <w:r>
              <w:rPr>
                <w:sz w:val="18"/>
              </w:rPr>
              <w:t>home_ownership_*</w:t>
            </w:r>
          </w:p>
        </w:tc>
        <w:tc>
          <w:tcPr>
            <w:tcW w:type="dxa" w:w="1440"/>
            <w:shd w:val="clear" w:color="auto" w:fill="EBF2FA"/>
            <w:vAlign w:val="center"/>
          </w:tcPr>
          <w:p>
            <w:pPr>
              <w:jc w:val="center"/>
            </w:pPr>
            <w:r>
              <w:rPr>
                <w:sz w:val="18"/>
              </w:rPr>
              <w:t>Encoded</w:t>
            </w:r>
          </w:p>
        </w:tc>
        <w:tc>
          <w:tcPr>
            <w:tcW w:type="dxa" w:w="3600"/>
            <w:shd w:val="clear" w:color="auto" w:fill="EBF2FA"/>
            <w:vAlign w:val="center"/>
          </w:tcPr>
          <w:p>
            <w:pPr>
              <w:jc w:val="center"/>
            </w:pPr>
            <w:r>
              <w:rPr>
                <w:sz w:val="18"/>
              </w:rPr>
              <w:t>5 binary columns from home ownership</w:t>
            </w:r>
          </w:p>
        </w:tc>
        <w:tc>
          <w:tcPr>
            <w:tcW w:type="dxa" w:w="1440"/>
            <w:shd w:val="clear" w:color="auto" w:fill="EBF2FA"/>
            <w:vAlign w:val="center"/>
          </w:tcPr>
          <w:p>
            <w:pPr>
              <w:jc w:val="center"/>
            </w:pPr>
            <w:r>
              <w:rPr>
                <w:sz w:val="18"/>
              </w:rPr>
              <w:t>—</w:t>
            </w:r>
          </w:p>
        </w:tc>
      </w:tr>
      <w:tr>
        <w:tc>
          <w:tcPr>
            <w:tcW w:type="dxa" w:w="2304"/>
            <w:vAlign w:val="center"/>
          </w:tcPr>
          <w:p>
            <w:pPr>
              <w:jc w:val="center"/>
            </w:pPr>
            <w:r>
              <w:rPr>
                <w:sz w:val="18"/>
              </w:rPr>
              <w:t>verification_status_*</w:t>
            </w:r>
          </w:p>
        </w:tc>
        <w:tc>
          <w:tcPr>
            <w:tcW w:type="dxa" w:w="1440"/>
            <w:vAlign w:val="center"/>
          </w:tcPr>
          <w:p>
            <w:pPr>
              <w:jc w:val="center"/>
            </w:pPr>
            <w:r>
              <w:rPr>
                <w:sz w:val="18"/>
              </w:rPr>
              <w:t>Encoded</w:t>
            </w:r>
          </w:p>
        </w:tc>
        <w:tc>
          <w:tcPr>
            <w:tcW w:type="dxa" w:w="3600"/>
            <w:vAlign w:val="center"/>
          </w:tcPr>
          <w:p>
            <w:pPr>
              <w:jc w:val="center"/>
            </w:pPr>
            <w:r>
              <w:rPr>
                <w:sz w:val="18"/>
              </w:rPr>
              <w:t>2 binary columns from income verification</w:t>
            </w:r>
          </w:p>
        </w:tc>
        <w:tc>
          <w:tcPr>
            <w:tcW w:type="dxa" w:w="1440"/>
            <w:vAlign w:val="center"/>
          </w:tcPr>
          <w:p>
            <w:pPr>
              <w:jc w:val="center"/>
            </w:pPr>
            <w:r>
              <w:rPr>
                <w:sz w:val="18"/>
              </w:rPr>
              <w:t>—</w:t>
            </w:r>
          </w:p>
        </w:tc>
      </w:tr>
    </w:tbl>
    <w:p>
      <w:pPr>
        <w:spacing w:after="120"/>
      </w:pPr>
    </w:p>
    <w:p>
      <w:r>
        <w:br w:type="page"/>
      </w:r>
    </w:p>
    <w:p>
      <w:pPr>
        <w:pStyle w:val="Heading1"/>
        <w:spacing w:before="240" w:after="120"/>
      </w:pPr>
      <w:r>
        <w:rPr>
          <w:color w:val="0D2B55"/>
        </w:rPr>
        <w:t>9. Machine Learning Models</w:t>
      </w:r>
    </w:p>
    <w:p>
      <w:pPr>
        <w:pStyle w:val="Heading2"/>
        <w:spacing w:before="240" w:after="120"/>
      </w:pPr>
      <w:r>
        <w:rPr>
          <w:color w:val="1F497D"/>
        </w:rPr>
        <w:t>9.1  What Is a Classification Model?</w:t>
      </w:r>
    </w:p>
    <w:p>
      <w:pPr>
        <w:spacing w:after="120" w:before="40"/>
      </w:pPr>
      <w:r>
        <w:rPr>
          <w:b w:val="0"/>
          <w:i w:val="0"/>
        </w:rPr>
        <w:t>A classification model learns patterns from historical data to assign new observations to a category — in this case, "default" or "fully paid". Given 34 features about an applicant, the model outputs a probability between 0 and 1: the probability that this loan will default. A decision threshold (e.g., 0.35) then converts that probability into a binary decision: approve or reject.</w:t>
      </w:r>
    </w:p>
    <w:p>
      <w:pPr>
        <w:pStyle w:val="Heading2"/>
        <w:spacing w:before="240" w:after="120"/>
      </w:pPr>
      <w:r>
        <w:rPr>
          <w:color w:val="1F497D"/>
        </w:rPr>
        <w:t>9.2  Logistic Regression (Baseline)</w:t>
      </w:r>
    </w:p>
    <w:p>
      <w:pPr>
        <w:spacing w:after="120" w:before="40"/>
      </w:pPr>
      <w:r>
        <w:rPr>
          <w:b w:val="0"/>
          <w:i w:val="0"/>
        </w:rPr>
        <w:t>Logistic Regression is the simplest classification model — essentially a weighted sum of features passed through a sigmoid function to produce a probability. It is fast, interpretable, and serves as a baseline. However, it assumes linear relationships between features and the outcome, which is rarely true for credit data. In our results, it achieved an AUC of 0.6996 but only caught 6.5% of defaults at the default threshold — it was heavily biased toward the majority class (fully paid).</w:t>
      </w:r>
    </w:p>
    <w:p>
      <w:pPr>
        <w:pStyle w:val="Heading2"/>
        <w:spacing w:before="240" w:after="120"/>
      </w:pPr>
      <w:r>
        <w:rPr>
          <w:color w:val="1F497D"/>
        </w:rPr>
        <w:t>9.3  Random Forest</w:t>
      </w:r>
    </w:p>
    <w:p>
      <w:pPr>
        <w:spacing w:after="120" w:before="40"/>
      </w:pPr>
      <w:r>
        <w:rPr>
          <w:b w:val="0"/>
          <w:i w:val="0"/>
        </w:rPr>
        <w:t>A Random Forest builds hundreds of decision trees, each trained on a random subset of data and features, then combines their predictions by majority vote. This ensemble approach reduces overfitting and handles non-linear relationships well. The class_weight="balanced" setting was used to compensate for the 80/20 class imbalance, making the model pay more attention to the minority class (defaults). It achieved AUC 0.7072 and caught 67.9% of defaults.</w:t>
      </w:r>
    </w:p>
    <w:p>
      <w:pPr>
        <w:pStyle w:val="Heading2"/>
        <w:spacing w:before="240" w:after="120"/>
      </w:pPr>
      <w:r>
        <w:rPr>
          <w:color w:val="1F497D"/>
        </w:rPr>
        <w:t>9.4  XGBoost (Selected Model)</w:t>
      </w:r>
    </w:p>
    <w:p>
      <w:pPr>
        <w:spacing w:after="120" w:before="40"/>
      </w:pPr>
      <w:r>
        <w:rPr>
          <w:b w:val="0"/>
          <w:i w:val="0"/>
        </w:rPr>
        <w:t>XGBoost (Extreme Gradient Boosting) builds trees sequentially — each new tree learns from the errors of the previous one. It is generally the best-performing model on structured tabular data and is widely used in industry for credit risk modelling. The scale_pos_weight parameter (set to ~4.0, reflecting the 80/20 imbalance) ensures the model penalises missed defaults more heavily during training.</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497D"/>
            <w:vAlign w:val="center"/>
          </w:tcPr>
          <w:p>
            <w:pPr>
              <w:jc w:val="center"/>
            </w:pPr>
            <w:r>
              <w:rPr>
                <w:b/>
                <w:color w:val="FFFFFF"/>
                <w:sz w:val="18"/>
              </w:rPr>
              <w:t>XGBoost Parameter</w:t>
            </w:r>
          </w:p>
        </w:tc>
        <w:tc>
          <w:tcPr>
            <w:tcW w:type="dxa" w:w="1296"/>
            <w:shd w:val="clear" w:color="auto" w:fill="1F497D"/>
            <w:vAlign w:val="center"/>
          </w:tcPr>
          <w:p>
            <w:pPr>
              <w:jc w:val="center"/>
            </w:pPr>
            <w:r>
              <w:rPr>
                <w:b/>
                <w:color w:val="FFFFFF"/>
                <w:sz w:val="18"/>
              </w:rPr>
              <w:t>Value</w:t>
            </w:r>
          </w:p>
        </w:tc>
        <w:tc>
          <w:tcPr>
            <w:tcW w:type="dxa" w:w="5760"/>
            <w:shd w:val="clear" w:color="auto" w:fill="1F497D"/>
            <w:vAlign w:val="center"/>
          </w:tcPr>
          <w:p>
            <w:pPr>
              <w:jc w:val="center"/>
            </w:pPr>
            <w:r>
              <w:rPr>
                <w:b/>
                <w:color w:val="FFFFFF"/>
                <w:sz w:val="18"/>
              </w:rPr>
              <w:t>What It Does</w:t>
            </w:r>
          </w:p>
        </w:tc>
      </w:tr>
      <w:tr>
        <w:tc>
          <w:tcPr>
            <w:tcW w:type="dxa" w:w="2592"/>
          </w:tcPr>
          <w:p/>
        </w:tc>
        <w:tc>
          <w:tcPr>
            <w:tcW w:type="dxa" w:w="1296"/>
          </w:tcPr>
          <w:p/>
        </w:tc>
        <w:tc>
          <w:tcPr>
            <w:tcW w:type="dxa" w:w="5760"/>
          </w:tcPr>
          <w:p/>
        </w:tc>
      </w:tr>
      <w:tr>
        <w:tc>
          <w:tcPr>
            <w:tcW w:type="dxa" w:w="2592"/>
          </w:tcPr>
          <w:p/>
        </w:tc>
        <w:tc>
          <w:tcPr>
            <w:tcW w:type="dxa" w:w="1296"/>
          </w:tcPr>
          <w:p/>
        </w:tc>
        <w:tc>
          <w:tcPr>
            <w:tcW w:type="dxa" w:w="5760"/>
          </w:tcPr>
          <w:p/>
        </w:tc>
      </w:tr>
      <w:tr>
        <w:tc>
          <w:tcPr>
            <w:tcW w:type="dxa" w:w="2592"/>
          </w:tcPr>
          <w:p/>
        </w:tc>
        <w:tc>
          <w:tcPr>
            <w:tcW w:type="dxa" w:w="1296"/>
          </w:tcPr>
          <w:p/>
        </w:tc>
        <w:tc>
          <w:tcPr>
            <w:tcW w:type="dxa" w:w="5760"/>
          </w:tcPr>
          <w:p/>
        </w:tc>
      </w:tr>
      <w:tr>
        <w:tc>
          <w:tcPr>
            <w:tcW w:type="dxa" w:w="2592"/>
          </w:tcPr>
          <w:p/>
        </w:tc>
        <w:tc>
          <w:tcPr>
            <w:tcW w:type="dxa" w:w="1296"/>
          </w:tcPr>
          <w:p/>
        </w:tc>
        <w:tc>
          <w:tcPr>
            <w:tcW w:type="dxa" w:w="5760"/>
          </w:tcPr>
          <w:p/>
        </w:tc>
      </w:tr>
      <w:tr>
        <w:tc>
          <w:tcPr>
            <w:tcW w:type="dxa" w:w="2592"/>
          </w:tcPr>
          <w:p/>
        </w:tc>
        <w:tc>
          <w:tcPr>
            <w:tcW w:type="dxa" w:w="1296"/>
          </w:tcPr>
          <w:p/>
        </w:tc>
        <w:tc>
          <w:tcPr>
            <w:tcW w:type="dxa" w:w="5760"/>
          </w:tcPr>
          <w:p/>
        </w:tc>
      </w:tr>
      <w:tr>
        <w:tc>
          <w:tcPr>
            <w:tcW w:type="dxa" w:w="2592"/>
          </w:tcPr>
          <w:p/>
        </w:tc>
        <w:tc>
          <w:tcPr>
            <w:tcW w:type="dxa" w:w="1296"/>
          </w:tcPr>
          <w:p/>
        </w:tc>
        <w:tc>
          <w:tcPr>
            <w:tcW w:type="dxa" w:w="5760"/>
          </w:tcPr>
          <w:p/>
        </w:tc>
      </w:tr>
      <w:tr>
        <w:tc>
          <w:tcPr>
            <w:tcW w:type="dxa" w:w="2592"/>
            <w:vAlign w:val="center"/>
          </w:tcPr>
          <w:p>
            <w:pPr>
              <w:jc w:val="center"/>
            </w:pPr>
            <w:r>
              <w:rPr>
                <w:sz w:val="18"/>
              </w:rPr>
              <w:t>n_estimators</w:t>
            </w:r>
          </w:p>
        </w:tc>
        <w:tc>
          <w:tcPr>
            <w:tcW w:type="dxa" w:w="1296"/>
            <w:vAlign w:val="center"/>
          </w:tcPr>
          <w:p>
            <w:pPr>
              <w:jc w:val="center"/>
            </w:pPr>
            <w:r>
              <w:rPr>
                <w:sz w:val="18"/>
              </w:rPr>
              <w:t>300</w:t>
            </w:r>
          </w:p>
        </w:tc>
        <w:tc>
          <w:tcPr>
            <w:tcW w:type="dxa" w:w="5760"/>
            <w:vAlign w:val="center"/>
          </w:tcPr>
          <w:p>
            <w:pPr>
              <w:jc w:val="center"/>
            </w:pPr>
            <w:r>
              <w:rPr>
                <w:sz w:val="18"/>
              </w:rPr>
              <w:t>Number of trees — more trees = better accuracy (up to a point)</w:t>
            </w:r>
          </w:p>
        </w:tc>
      </w:tr>
      <w:tr>
        <w:tc>
          <w:tcPr>
            <w:tcW w:type="dxa" w:w="2592"/>
            <w:shd w:val="clear" w:color="auto" w:fill="EBF2FA"/>
            <w:vAlign w:val="center"/>
          </w:tcPr>
          <w:p>
            <w:pPr>
              <w:jc w:val="center"/>
            </w:pPr>
            <w:r>
              <w:rPr>
                <w:sz w:val="18"/>
              </w:rPr>
              <w:t>max_depth</w:t>
            </w:r>
          </w:p>
        </w:tc>
        <w:tc>
          <w:tcPr>
            <w:tcW w:type="dxa" w:w="1296"/>
            <w:shd w:val="clear" w:color="auto" w:fill="EBF2FA"/>
            <w:vAlign w:val="center"/>
          </w:tcPr>
          <w:p>
            <w:pPr>
              <w:jc w:val="center"/>
            </w:pPr>
            <w:r>
              <w:rPr>
                <w:sz w:val="18"/>
              </w:rPr>
              <w:t>6</w:t>
            </w:r>
          </w:p>
        </w:tc>
        <w:tc>
          <w:tcPr>
            <w:tcW w:type="dxa" w:w="5760"/>
            <w:shd w:val="clear" w:color="auto" w:fill="EBF2FA"/>
            <w:vAlign w:val="center"/>
          </w:tcPr>
          <w:p>
            <w:pPr>
              <w:jc w:val="center"/>
            </w:pPr>
            <w:r>
              <w:rPr>
                <w:sz w:val="18"/>
              </w:rPr>
              <w:t>Maximum depth of each tree — controls complexity, prevents overfitting</w:t>
            </w:r>
          </w:p>
        </w:tc>
      </w:tr>
      <w:tr>
        <w:tc>
          <w:tcPr>
            <w:tcW w:type="dxa" w:w="2592"/>
            <w:vAlign w:val="center"/>
          </w:tcPr>
          <w:p>
            <w:pPr>
              <w:jc w:val="center"/>
            </w:pPr>
            <w:r>
              <w:rPr>
                <w:sz w:val="18"/>
              </w:rPr>
              <w:t>learning_rate</w:t>
            </w:r>
          </w:p>
        </w:tc>
        <w:tc>
          <w:tcPr>
            <w:tcW w:type="dxa" w:w="1296"/>
            <w:vAlign w:val="center"/>
          </w:tcPr>
          <w:p>
            <w:pPr>
              <w:jc w:val="center"/>
            </w:pPr>
            <w:r>
              <w:rPr>
                <w:sz w:val="18"/>
              </w:rPr>
              <w:t>0.1</w:t>
            </w:r>
          </w:p>
        </w:tc>
        <w:tc>
          <w:tcPr>
            <w:tcW w:type="dxa" w:w="5760"/>
            <w:vAlign w:val="center"/>
          </w:tcPr>
          <w:p>
            <w:pPr>
              <w:jc w:val="center"/>
            </w:pPr>
            <w:r>
              <w:rPr>
                <w:sz w:val="18"/>
              </w:rPr>
              <w:t>How much each tree corrects the previous — lower = more robust</w:t>
            </w:r>
          </w:p>
        </w:tc>
      </w:tr>
      <w:tr>
        <w:tc>
          <w:tcPr>
            <w:tcW w:type="dxa" w:w="2592"/>
            <w:shd w:val="clear" w:color="auto" w:fill="EBF2FA"/>
            <w:vAlign w:val="center"/>
          </w:tcPr>
          <w:p>
            <w:pPr>
              <w:jc w:val="center"/>
            </w:pPr>
            <w:r>
              <w:rPr>
                <w:sz w:val="18"/>
              </w:rPr>
              <w:t>scale_pos_weight</w:t>
            </w:r>
          </w:p>
        </w:tc>
        <w:tc>
          <w:tcPr>
            <w:tcW w:type="dxa" w:w="1296"/>
            <w:shd w:val="clear" w:color="auto" w:fill="EBF2FA"/>
            <w:vAlign w:val="center"/>
          </w:tcPr>
          <w:p>
            <w:pPr>
              <w:jc w:val="center"/>
            </w:pPr>
            <w:r>
              <w:rPr>
                <w:sz w:val="18"/>
              </w:rPr>
              <w:t>~4.01</w:t>
            </w:r>
          </w:p>
        </w:tc>
        <w:tc>
          <w:tcPr>
            <w:tcW w:type="dxa" w:w="5760"/>
            <w:shd w:val="clear" w:color="auto" w:fill="EBF2FA"/>
            <w:vAlign w:val="center"/>
          </w:tcPr>
          <w:p>
            <w:pPr>
              <w:jc w:val="center"/>
            </w:pPr>
            <w:r>
              <w:rPr>
                <w:sz w:val="18"/>
              </w:rPr>
              <w:t>Weights defaults 4x more — compensates for 80/20 class imbalance</w:t>
            </w:r>
          </w:p>
        </w:tc>
      </w:tr>
      <w:tr>
        <w:tc>
          <w:tcPr>
            <w:tcW w:type="dxa" w:w="2592"/>
            <w:vAlign w:val="center"/>
          </w:tcPr>
          <w:p>
            <w:pPr>
              <w:jc w:val="center"/>
            </w:pPr>
            <w:r>
              <w:rPr>
                <w:sz w:val="18"/>
              </w:rPr>
              <w:t>subsample</w:t>
            </w:r>
          </w:p>
        </w:tc>
        <w:tc>
          <w:tcPr>
            <w:tcW w:type="dxa" w:w="1296"/>
            <w:vAlign w:val="center"/>
          </w:tcPr>
          <w:p>
            <w:pPr>
              <w:jc w:val="center"/>
            </w:pPr>
            <w:r>
              <w:rPr>
                <w:sz w:val="18"/>
              </w:rPr>
              <w:t>0.8</w:t>
            </w:r>
          </w:p>
        </w:tc>
        <w:tc>
          <w:tcPr>
            <w:tcW w:type="dxa" w:w="5760"/>
            <w:vAlign w:val="center"/>
          </w:tcPr>
          <w:p>
            <w:pPr>
              <w:jc w:val="center"/>
            </w:pPr>
            <w:r>
              <w:rPr>
                <w:sz w:val="18"/>
              </w:rPr>
              <w:t>Each tree uses 80% of rows — adds randomness, reduces overfitting</w:t>
            </w:r>
          </w:p>
        </w:tc>
      </w:tr>
      <w:tr>
        <w:tc>
          <w:tcPr>
            <w:tcW w:type="dxa" w:w="2592"/>
            <w:shd w:val="clear" w:color="auto" w:fill="EBF2FA"/>
            <w:vAlign w:val="center"/>
          </w:tcPr>
          <w:p>
            <w:pPr>
              <w:jc w:val="center"/>
            </w:pPr>
            <w:r>
              <w:rPr>
                <w:sz w:val="18"/>
              </w:rPr>
              <w:t>colsample_bytree</w:t>
            </w:r>
          </w:p>
        </w:tc>
        <w:tc>
          <w:tcPr>
            <w:tcW w:type="dxa" w:w="1296"/>
            <w:shd w:val="clear" w:color="auto" w:fill="EBF2FA"/>
            <w:vAlign w:val="center"/>
          </w:tcPr>
          <w:p>
            <w:pPr>
              <w:jc w:val="center"/>
            </w:pPr>
            <w:r>
              <w:rPr>
                <w:sz w:val="18"/>
              </w:rPr>
              <w:t>0.8</w:t>
            </w:r>
          </w:p>
        </w:tc>
        <w:tc>
          <w:tcPr>
            <w:tcW w:type="dxa" w:w="5760"/>
            <w:shd w:val="clear" w:color="auto" w:fill="EBF2FA"/>
            <w:vAlign w:val="center"/>
          </w:tcPr>
          <w:p>
            <w:pPr>
              <w:jc w:val="center"/>
            </w:pPr>
            <w:r>
              <w:rPr>
                <w:sz w:val="18"/>
              </w:rPr>
              <w:t>Each tree uses 80% of features — adds randomness</w:t>
            </w:r>
          </w:p>
        </w:tc>
      </w:tr>
    </w:tbl>
    <w:p>
      <w:pPr>
        <w:spacing w:after="120"/>
      </w:pPr>
    </w:p>
    <w:p>
      <w:r>
        <w:br w:type="page"/>
      </w:r>
    </w:p>
    <w:p>
      <w:pPr>
        <w:pStyle w:val="Heading1"/>
        <w:spacing w:before="240" w:after="120"/>
      </w:pPr>
      <w:r>
        <w:rPr>
          <w:color w:val="0D2B55"/>
        </w:rPr>
        <w:t>10. Model Comparison</w:t>
      </w:r>
    </w:p>
    <w:p>
      <w:pPr>
        <w:pStyle w:val="Heading2"/>
        <w:spacing w:before="240" w:after="120"/>
      </w:pPr>
      <w:r>
        <w:rPr>
          <w:color w:val="1F497D"/>
        </w:rPr>
        <w:t>10.1  Evaluation Metrics Explained</w:t>
      </w:r>
    </w:p>
    <w:p>
      <w:pPr>
        <w:pStyle w:val="ListBullet"/>
        <w:spacing w:after="60" w:before="40"/>
      </w:pPr>
      <w:r>
        <w:rPr>
          <w:b/>
        </w:rPr>
        <w:t xml:space="preserve">ROC-AUC (Area Under the ROC Curve): </w:t>
      </w:r>
      <w:r>
        <w:t>The primary metric for classification. Measures how well the model separates the two classes across ALL possible thresholds. AUC = 0.5 means random guessing; AUC = 1.0 means perfect separation. For credit risk, AUC 0.70–0.75 is considered good.</w:t>
      </w:r>
    </w:p>
    <w:p>
      <w:pPr>
        <w:pStyle w:val="ListBullet"/>
        <w:spacing w:after="60" w:before="40"/>
      </w:pPr>
      <w:r>
        <w:rPr>
          <w:b/>
        </w:rPr>
        <w:t xml:space="preserve">Default Catch Rate (Recall / Sensitivity): </w:t>
      </w:r>
      <w:r>
        <w:t>Of all actual defaults in the test set, what percentage did the model correctly flag? Higher is better — missing a default means funding a loan that loses money.</w:t>
      </w:r>
    </w:p>
    <w:p>
      <w:pPr>
        <w:pStyle w:val="ListBullet"/>
        <w:spacing w:after="60" w:before="40"/>
      </w:pPr>
      <w:r>
        <w:rPr>
          <w:b/>
        </w:rPr>
        <w:t xml:space="preserve">Good Borrower Rejection Rate (False Positive Rate): </w:t>
      </w:r>
      <w:r>
        <w:t>Of all good borrowers, what percentage did the model incorrectly reject? Lower is better — every wrongly rejected borrower is lost revenue.</w:t>
      </w:r>
    </w:p>
    <w:p>
      <w:pPr>
        <w:pStyle w:val="ListBullet"/>
        <w:spacing w:after="60" w:before="40"/>
      </w:pPr>
      <w:r>
        <w:rPr>
          <w:b/>
        </w:rPr>
        <w:t xml:space="preserve">F2 Score: </w:t>
      </w:r>
      <w:r>
        <w:t>A metric that weights recall twice as heavily as precision. Purpose-built for scenarios where false negatives (missed defaults) are more costly than false positives (wrongly rejected good borrowers).</w:t>
      </w:r>
    </w:p>
    <w:p>
      <w:pPr>
        <w:pStyle w:val="Heading2"/>
        <w:spacing w:before="240" w:after="120"/>
      </w:pPr>
      <w:r>
        <w:rPr>
          <w:color w:val="1F497D"/>
        </w:rPr>
        <w:t>10.2  Results at Default Threshold (0.5)</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92"/>
            <w:shd w:val="clear" w:color="auto" w:fill="1F497D"/>
            <w:vAlign w:val="center"/>
          </w:tcPr>
          <w:p>
            <w:pPr>
              <w:jc w:val="center"/>
            </w:pPr>
            <w:r>
              <w:rPr>
                <w:b/>
                <w:color w:val="FFFFFF"/>
                <w:sz w:val="18"/>
              </w:rPr>
              <w:t>Model</w:t>
            </w:r>
          </w:p>
        </w:tc>
        <w:tc>
          <w:tcPr>
            <w:tcW w:type="dxa" w:w="1440"/>
            <w:shd w:val="clear" w:color="auto" w:fill="1F497D"/>
            <w:vAlign w:val="center"/>
          </w:tcPr>
          <w:p>
            <w:pPr>
              <w:jc w:val="center"/>
            </w:pPr>
            <w:r>
              <w:rPr>
                <w:b/>
                <w:color w:val="FFFFFF"/>
                <w:sz w:val="18"/>
              </w:rPr>
              <w:t>ROC-AUC</w:t>
            </w:r>
          </w:p>
        </w:tc>
        <w:tc>
          <w:tcPr>
            <w:tcW w:type="dxa" w:w="2160"/>
            <w:shd w:val="clear" w:color="auto" w:fill="1F497D"/>
            <w:vAlign w:val="center"/>
          </w:tcPr>
          <w:p>
            <w:pPr>
              <w:jc w:val="center"/>
            </w:pPr>
            <w:r>
              <w:rPr>
                <w:b/>
                <w:color w:val="FFFFFF"/>
                <w:sz w:val="18"/>
              </w:rPr>
              <w:t>Default Catch Rate</w:t>
            </w:r>
          </w:p>
        </w:tc>
        <w:tc>
          <w:tcPr>
            <w:tcW w:type="dxa" w:w="2304"/>
            <w:shd w:val="clear" w:color="auto" w:fill="1F497D"/>
            <w:vAlign w:val="center"/>
          </w:tcPr>
          <w:p>
            <w:pPr>
              <w:jc w:val="center"/>
            </w:pPr>
            <w:r>
              <w:rPr>
                <w:b/>
                <w:color w:val="FFFFFF"/>
                <w:sz w:val="18"/>
              </w:rPr>
              <w:t>Good Rejection Rate</w:t>
            </w:r>
          </w:p>
        </w:tc>
        <w:tc>
          <w:tcPr>
            <w:tcW w:type="dxa" w:w="2880"/>
            <w:shd w:val="clear" w:color="auto" w:fill="1F497D"/>
            <w:vAlign w:val="center"/>
          </w:tcPr>
          <w:p>
            <w:pPr>
              <w:jc w:val="center"/>
            </w:pPr>
            <w:r>
              <w:rPr>
                <w:b/>
                <w:color w:val="FFFFFF"/>
                <w:sz w:val="18"/>
              </w:rPr>
              <w:t>Decision</w:t>
            </w:r>
          </w:p>
        </w:tc>
      </w:tr>
      <w:tr>
        <w:tc>
          <w:tcPr>
            <w:tcW w:type="dxa" w:w="2592"/>
          </w:tcPr>
          <w:p/>
        </w:tc>
        <w:tc>
          <w:tcPr>
            <w:tcW w:type="dxa" w:w="1440"/>
          </w:tcPr>
          <w:p/>
        </w:tc>
        <w:tc>
          <w:tcPr>
            <w:tcW w:type="dxa" w:w="2160"/>
          </w:tcPr>
          <w:p/>
        </w:tc>
        <w:tc>
          <w:tcPr>
            <w:tcW w:type="dxa" w:w="2304"/>
          </w:tcPr>
          <w:p/>
        </w:tc>
        <w:tc>
          <w:tcPr>
            <w:tcW w:type="dxa" w:w="2880"/>
          </w:tcPr>
          <w:p/>
        </w:tc>
      </w:tr>
      <w:tr>
        <w:tc>
          <w:tcPr>
            <w:tcW w:type="dxa" w:w="2592"/>
          </w:tcPr>
          <w:p/>
        </w:tc>
        <w:tc>
          <w:tcPr>
            <w:tcW w:type="dxa" w:w="1440"/>
          </w:tcPr>
          <w:p/>
        </w:tc>
        <w:tc>
          <w:tcPr>
            <w:tcW w:type="dxa" w:w="2160"/>
          </w:tcPr>
          <w:p/>
        </w:tc>
        <w:tc>
          <w:tcPr>
            <w:tcW w:type="dxa" w:w="2304"/>
          </w:tcPr>
          <w:p/>
        </w:tc>
        <w:tc>
          <w:tcPr>
            <w:tcW w:type="dxa" w:w="2880"/>
          </w:tcPr>
          <w:p/>
        </w:tc>
      </w:tr>
      <w:tr>
        <w:tc>
          <w:tcPr>
            <w:tcW w:type="dxa" w:w="2592"/>
          </w:tcPr>
          <w:p/>
        </w:tc>
        <w:tc>
          <w:tcPr>
            <w:tcW w:type="dxa" w:w="1440"/>
          </w:tcPr>
          <w:p/>
        </w:tc>
        <w:tc>
          <w:tcPr>
            <w:tcW w:type="dxa" w:w="2160"/>
          </w:tcPr>
          <w:p/>
        </w:tc>
        <w:tc>
          <w:tcPr>
            <w:tcW w:type="dxa" w:w="2304"/>
          </w:tcPr>
          <w:p/>
        </w:tc>
        <w:tc>
          <w:tcPr>
            <w:tcW w:type="dxa" w:w="2880"/>
          </w:tcPr>
          <w:p/>
        </w:tc>
      </w:tr>
      <w:tr>
        <w:tc>
          <w:tcPr>
            <w:tcW w:type="dxa" w:w="2592"/>
            <w:vAlign w:val="center"/>
          </w:tcPr>
          <w:p>
            <w:pPr>
              <w:jc w:val="center"/>
            </w:pPr>
            <w:r>
              <w:rPr>
                <w:sz w:val="18"/>
              </w:rPr>
              <w:t>Logistic Regression</w:t>
            </w:r>
          </w:p>
        </w:tc>
        <w:tc>
          <w:tcPr>
            <w:tcW w:type="dxa" w:w="1440"/>
            <w:vAlign w:val="center"/>
          </w:tcPr>
          <w:p>
            <w:pPr>
              <w:jc w:val="center"/>
            </w:pPr>
            <w:r>
              <w:rPr>
                <w:sz w:val="18"/>
              </w:rPr>
              <w:t>0.6996</w:t>
            </w:r>
          </w:p>
        </w:tc>
        <w:tc>
          <w:tcPr>
            <w:tcW w:type="dxa" w:w="2160"/>
            <w:vAlign w:val="center"/>
          </w:tcPr>
          <w:p>
            <w:pPr>
              <w:jc w:val="center"/>
            </w:pPr>
            <w:r>
              <w:rPr>
                <w:sz w:val="18"/>
              </w:rPr>
              <w:t>6.5%</w:t>
            </w:r>
          </w:p>
        </w:tc>
        <w:tc>
          <w:tcPr>
            <w:tcW w:type="dxa" w:w="2304"/>
            <w:vAlign w:val="center"/>
          </w:tcPr>
          <w:p>
            <w:pPr>
              <w:jc w:val="center"/>
            </w:pPr>
            <w:r>
              <w:rPr>
                <w:sz w:val="18"/>
              </w:rPr>
              <w:t>1.6%</w:t>
            </w:r>
          </w:p>
        </w:tc>
        <w:tc>
          <w:tcPr>
            <w:tcW w:type="dxa" w:w="2880"/>
            <w:vAlign w:val="center"/>
          </w:tcPr>
          <w:p>
            <w:pPr>
              <w:jc w:val="center"/>
            </w:pPr>
            <w:r>
              <w:rPr>
                <w:sz w:val="18"/>
              </w:rPr>
              <w:t>Rejected — barely catches any defaults</w:t>
            </w:r>
          </w:p>
        </w:tc>
      </w:tr>
      <w:tr>
        <w:tc>
          <w:tcPr>
            <w:tcW w:type="dxa" w:w="2592"/>
            <w:shd w:val="clear" w:color="auto" w:fill="EBF2FA"/>
            <w:vAlign w:val="center"/>
          </w:tcPr>
          <w:p>
            <w:pPr>
              <w:jc w:val="center"/>
            </w:pPr>
            <w:r>
              <w:rPr>
                <w:sz w:val="18"/>
              </w:rPr>
              <w:t>Random Forest</w:t>
            </w:r>
          </w:p>
        </w:tc>
        <w:tc>
          <w:tcPr>
            <w:tcW w:type="dxa" w:w="1440"/>
            <w:shd w:val="clear" w:color="auto" w:fill="EBF2FA"/>
            <w:vAlign w:val="center"/>
          </w:tcPr>
          <w:p>
            <w:pPr>
              <w:jc w:val="center"/>
            </w:pPr>
            <w:r>
              <w:rPr>
                <w:sz w:val="18"/>
              </w:rPr>
              <w:t>0.7072</w:t>
            </w:r>
          </w:p>
        </w:tc>
        <w:tc>
          <w:tcPr>
            <w:tcW w:type="dxa" w:w="2160"/>
            <w:shd w:val="clear" w:color="auto" w:fill="EBF2FA"/>
            <w:vAlign w:val="center"/>
          </w:tcPr>
          <w:p>
            <w:pPr>
              <w:jc w:val="center"/>
            </w:pPr>
            <w:r>
              <w:rPr>
                <w:sz w:val="18"/>
              </w:rPr>
              <w:t>67.9%</w:t>
            </w:r>
          </w:p>
        </w:tc>
        <w:tc>
          <w:tcPr>
            <w:tcW w:type="dxa" w:w="2304"/>
            <w:shd w:val="clear" w:color="auto" w:fill="EBF2FA"/>
            <w:vAlign w:val="center"/>
          </w:tcPr>
          <w:p>
            <w:pPr>
              <w:jc w:val="center"/>
            </w:pPr>
            <w:r>
              <w:rPr>
                <w:sz w:val="18"/>
              </w:rPr>
              <w:t>37.9%</w:t>
            </w:r>
          </w:p>
        </w:tc>
        <w:tc>
          <w:tcPr>
            <w:tcW w:type="dxa" w:w="2880"/>
            <w:shd w:val="clear" w:color="auto" w:fill="EBF2FA"/>
            <w:vAlign w:val="center"/>
          </w:tcPr>
          <w:p>
            <w:pPr>
              <w:jc w:val="center"/>
            </w:pPr>
            <w:r>
              <w:rPr>
                <w:sz w:val="18"/>
              </w:rPr>
              <w:t>Viable — good recall but not best AUC</w:t>
            </w:r>
          </w:p>
        </w:tc>
      </w:tr>
      <w:tr>
        <w:tc>
          <w:tcPr>
            <w:tcW w:type="dxa" w:w="2592"/>
            <w:vAlign w:val="center"/>
          </w:tcPr>
          <w:p>
            <w:pPr>
              <w:jc w:val="center"/>
            </w:pPr>
            <w:r>
              <w:rPr>
                <w:sz w:val="18"/>
              </w:rPr>
              <w:t>XGBoost</w:t>
            </w:r>
          </w:p>
        </w:tc>
        <w:tc>
          <w:tcPr>
            <w:tcW w:type="dxa" w:w="1440"/>
            <w:vAlign w:val="center"/>
          </w:tcPr>
          <w:p>
            <w:pPr>
              <w:jc w:val="center"/>
            </w:pPr>
            <w:r>
              <w:rPr>
                <w:sz w:val="18"/>
              </w:rPr>
              <w:t>0.7170</w:t>
            </w:r>
          </w:p>
        </w:tc>
        <w:tc>
          <w:tcPr>
            <w:tcW w:type="dxa" w:w="2160"/>
            <w:vAlign w:val="center"/>
          </w:tcPr>
          <w:p>
            <w:pPr>
              <w:jc w:val="center"/>
            </w:pPr>
            <w:r>
              <w:rPr>
                <w:sz w:val="18"/>
              </w:rPr>
              <w:t>67.7%</w:t>
            </w:r>
          </w:p>
        </w:tc>
        <w:tc>
          <w:tcPr>
            <w:tcW w:type="dxa" w:w="2304"/>
            <w:vAlign w:val="center"/>
          </w:tcPr>
          <w:p>
            <w:pPr>
              <w:jc w:val="center"/>
            </w:pPr>
            <w:r>
              <w:rPr>
                <w:sz w:val="18"/>
              </w:rPr>
              <w:t>36.1%</w:t>
            </w:r>
          </w:p>
        </w:tc>
        <w:tc>
          <w:tcPr>
            <w:tcW w:type="dxa" w:w="2880"/>
            <w:vAlign w:val="center"/>
          </w:tcPr>
          <w:p>
            <w:pPr>
              <w:jc w:val="center"/>
            </w:pPr>
            <w:r>
              <w:rPr>
                <w:sz w:val="18"/>
              </w:rPr>
              <w:t>✓ Selected — best AUC, best overall</w:t>
            </w:r>
          </w:p>
        </w:tc>
      </w:tr>
    </w:tbl>
    <w:p>
      <w:pPr>
        <w:spacing w:after="120"/>
      </w:pPr>
    </w:p>
    <w:p>
      <w:pPr>
        <w:spacing w:after="120" w:before="40"/>
      </w:pPr>
      <w:r>
        <w:rPr>
          <w:b w:val="0"/>
          <w:i w:val="0"/>
        </w:rPr>
        <w:t>XGBoost was selected as the final model based on its superior ROC-AUC. The ROC curve below shows all three models — the further the curve bows toward the top-left corner, the better. XGBoost (red) consistently outperforms both alternatives.</w:t>
      </w:r>
    </w:p>
    <w:p>
      <w:pPr>
        <w:jc w:val="center"/>
      </w:pPr>
      <w:r>
        <w:drawing>
          <wp:inline xmlns:a="http://schemas.openxmlformats.org/drawingml/2006/main" xmlns:pic="http://schemas.openxmlformats.org/drawingml/2006/picture">
            <wp:extent cx="4754880" cy="3396343"/>
            <wp:docPr id="9" name="Picture 9"/>
            <wp:cNvGraphicFramePr>
              <a:graphicFrameLocks noChangeAspect="1"/>
            </wp:cNvGraphicFramePr>
            <a:graphic>
              <a:graphicData uri="http://schemas.openxmlformats.org/drawingml/2006/picture">
                <pic:pic>
                  <pic:nvPicPr>
                    <pic:cNvPr id="0" name="rpt_roc.png"/>
                    <pic:cNvPicPr/>
                  </pic:nvPicPr>
                  <pic:blipFill>
                    <a:blip r:embed="rId17"/>
                    <a:stretch>
                      <a:fillRect/>
                    </a:stretch>
                  </pic:blipFill>
                  <pic:spPr>
                    <a:xfrm>
                      <a:off x="0" y="0"/>
                      <a:ext cx="4754880" cy="3396343"/>
                    </a:xfrm>
                    <a:prstGeom prst="rect"/>
                  </pic:spPr>
                </pic:pic>
              </a:graphicData>
            </a:graphic>
          </wp:inline>
        </w:drawing>
      </w:r>
    </w:p>
    <w:p>
      <w:pPr>
        <w:spacing w:after="200"/>
        <w:jc w:val="center"/>
      </w:pPr>
      <w:r>
        <w:rPr>
          <w:i/>
          <w:color w:val="555555"/>
          <w:sz w:val="18"/>
        </w:rPr>
        <w:t>Figure 5: ROC curves for all three models. The black dot marks the operating point of the final XGBoost model.</w:t>
      </w:r>
    </w:p>
    <w:p>
      <w:r>
        <w:br w:type="page"/>
      </w:r>
    </w:p>
    <w:p>
      <w:pPr>
        <w:pStyle w:val="Heading1"/>
        <w:spacing w:before="240" w:after="120"/>
      </w:pPr>
      <w:r>
        <w:rPr>
          <w:color w:val="0D2B55"/>
        </w:rPr>
        <w:t>11. Threshold Optimisation</w:t>
      </w:r>
    </w:p>
    <w:p>
      <w:pPr>
        <w:pStyle w:val="Heading2"/>
        <w:spacing w:before="240" w:after="120"/>
      </w:pPr>
      <w:r>
        <w:rPr>
          <w:color w:val="1F497D"/>
        </w:rPr>
        <w:t>11.1  What Is a Decision Threshold?</w:t>
      </w:r>
    </w:p>
    <w:p>
      <w:pPr>
        <w:spacing w:after="120" w:before="40"/>
      </w:pPr>
      <w:r>
        <w:rPr>
          <w:b w:val="0"/>
          <w:i w:val="0"/>
        </w:rPr>
        <w:t>The model outputs a probability for every loan application — for example, 0.42 means "42% chance this loan defaults." A decision threshold converts this probability into an action: approve or reject. At threshold 0.5, any loan with predicted default probability above 50% is rejected. At threshold 0.35, any loan above 35% is rejected.</w:t>
      </w:r>
    </w:p>
    <w:p>
      <w:pPr>
        <w:spacing w:after="120" w:before="40"/>
      </w:pPr>
      <w:r>
        <w:rPr>
          <w:b w:val="0"/>
          <w:i w:val="0"/>
        </w:rPr>
        <w:t>Lowering the threshold makes the model more aggressive — it catches more defaults but also rejects more good borrowers. Raising it makes the model more lenient — fewer rejections but more missed defaults. The right threshold depends on the business context.</w:t>
      </w:r>
    </w:p>
    <w:p>
      <w:pPr>
        <w:pStyle w:val="Heading2"/>
        <w:spacing w:before="240" w:after="120"/>
      </w:pPr>
      <w:r>
        <w:rPr>
          <w:color w:val="1F497D"/>
        </w:rPr>
        <w:t>11.2  Why F2-Score Optimisation?</w:t>
      </w:r>
    </w:p>
    <w:p>
      <w:pPr>
        <w:spacing w:after="120" w:before="40"/>
      </w:pPr>
      <w:r>
        <w:rPr>
          <w:b w:val="0"/>
          <w:i w:val="0"/>
        </w:rPr>
        <w:t>In credit risk, the cost of missing a default (funding a bad loan) is significantly higher than the cost of rejecting a good borrower (losing a loan origination fee). The F2-score formalises this asymmetry by weighting recall (default catch rate) twice as heavily as precision.</w:t>
      </w:r>
    </w:p>
    <w:tbl>
      <w:tblPr>
        <w:tblStyle w:val="TableGrid"/>
        <w:tblW w:type="auto" w:w="0"/>
        <w:tblLook w:firstColumn="1" w:firstRow="1" w:lastColumn="0" w:lastRow="0" w:noHBand="0" w:noVBand="1" w:val="04A0"/>
      </w:tblPr>
      <w:tblGrid>
        <w:gridCol w:w="8640"/>
      </w:tblGrid>
      <w:tr>
        <w:tc>
          <w:tcPr>
            <w:tcW w:type="dxa" w:w="8640"/>
            <w:shd w:val="clear" w:color="auto" w:fill="1F497D"/>
          </w:tcPr>
          <w:p>
            <w:pPr>
              <w:spacing w:before="80" w:after="80"/>
            </w:pPr>
            <w:r>
              <w:rPr>
                <w:b/>
                <w:color w:val="FFFFFF"/>
                <w:sz w:val="18"/>
              </w:rPr>
              <w:t xml:space="preserve">F2 FORMULA:  </w:t>
            </w:r>
            <w:r>
              <w:rPr>
                <w:color w:val="FFFFFF"/>
                <w:sz w:val="18"/>
              </w:rPr>
              <w:t>F2 = (5 × Precision × Recall) / (4 × Precision + Recall)</w:t>
              <w:br/>
              <w:t>This formula forces the optimal threshold to sit where recall is high, accepting some loss in precision as the cost.</w:t>
            </w:r>
          </w:p>
        </w:tc>
      </w:tr>
    </w:tbl>
    <w:p>
      <w:pPr>
        <w:spacing w:after="80"/>
      </w:pPr>
    </w:p>
    <w:p>
      <w:pPr>
        <w:pStyle w:val="Heading2"/>
        <w:spacing w:before="240" w:after="120"/>
      </w:pPr>
      <w:r>
        <w:rPr>
          <w:color w:val="1F497D"/>
        </w:rPr>
        <w:t>11.3  Threshold Sweep Results</w:t>
      </w:r>
    </w:p>
    <w:p>
      <w:pPr>
        <w:spacing w:after="120" w:before="40"/>
      </w:pPr>
      <w:r>
        <w:rPr>
          <w:b w:val="0"/>
          <w:i w:val="0"/>
        </w:rPr>
        <w:t>The F2-optimal threshold was found to be 0.35 — meaning any loan with predicted default probability ≥ 0.35 is rejected. The charts below show how catch rate and rejection rate change across all thresholds, and where F2 score is maximised.</w:t>
      </w:r>
    </w:p>
    <w:p>
      <w:pPr>
        <w:jc w:val="center"/>
      </w:pPr>
      <w:r>
        <w:drawing>
          <wp:inline xmlns:a="http://schemas.openxmlformats.org/drawingml/2006/main" xmlns:pic="http://schemas.openxmlformats.org/drawingml/2006/picture">
            <wp:extent cx="5303520" cy="2039815"/>
            <wp:docPr id="10" name="Picture 10"/>
            <wp:cNvGraphicFramePr>
              <a:graphicFrameLocks noChangeAspect="1"/>
            </wp:cNvGraphicFramePr>
            <a:graphic>
              <a:graphicData uri="http://schemas.openxmlformats.org/drawingml/2006/picture">
                <pic:pic>
                  <pic:nvPicPr>
                    <pic:cNvPr id="0" name="rpt_threshold.png"/>
                    <pic:cNvPicPr/>
                  </pic:nvPicPr>
                  <pic:blipFill>
                    <a:blip r:embed="rId18"/>
                    <a:stretch>
                      <a:fillRect/>
                    </a:stretch>
                  </pic:blipFill>
                  <pic:spPr>
                    <a:xfrm>
                      <a:off x="0" y="0"/>
                      <a:ext cx="5303520" cy="2039815"/>
                    </a:xfrm>
                    <a:prstGeom prst="rect"/>
                  </pic:spPr>
                </pic:pic>
              </a:graphicData>
            </a:graphic>
          </wp:inline>
        </w:drawing>
      </w:r>
    </w:p>
    <w:p>
      <w:pPr>
        <w:spacing w:after="200"/>
        <w:jc w:val="center"/>
      </w:pPr>
      <w:r>
        <w:rPr>
          <w:i/>
          <w:color w:val="555555"/>
          <w:sz w:val="18"/>
        </w:rPr>
        <w:t>Figure 6: Left — catch rate and rejection rate vs threshold. Right — F2 score vs threshold.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1F497D"/>
            <w:vAlign w:val="center"/>
          </w:tcPr>
          <w:p>
            <w:pPr>
              <w:jc w:val="center"/>
            </w:pPr>
            <w:r>
              <w:rPr>
                <w:b/>
                <w:color w:val="FFFFFF"/>
                <w:sz w:val="18"/>
              </w:rPr>
              <w:t>Threshold</w:t>
            </w:r>
          </w:p>
        </w:tc>
        <w:tc>
          <w:tcPr>
            <w:tcW w:type="dxa" w:w="2160"/>
            <w:shd w:val="clear" w:color="auto" w:fill="1F497D"/>
            <w:vAlign w:val="center"/>
          </w:tcPr>
          <w:p>
            <w:pPr>
              <w:jc w:val="center"/>
            </w:pPr>
            <w:r>
              <w:rPr>
                <w:b/>
                <w:color w:val="FFFFFF"/>
                <w:sz w:val="18"/>
              </w:rPr>
              <w:t>Default Catch Rate</w:t>
            </w:r>
          </w:p>
        </w:tc>
        <w:tc>
          <w:tcPr>
            <w:tcW w:type="dxa" w:w="2304"/>
            <w:shd w:val="clear" w:color="auto" w:fill="1F497D"/>
            <w:vAlign w:val="center"/>
          </w:tcPr>
          <w:p>
            <w:pPr>
              <w:jc w:val="center"/>
            </w:pPr>
            <w:r>
              <w:rPr>
                <w:b/>
                <w:color w:val="FFFFFF"/>
                <w:sz w:val="18"/>
              </w:rPr>
              <w:t>Good Rejection Rate</w:t>
            </w:r>
          </w:p>
        </w:tc>
        <w:tc>
          <w:tcPr>
            <w:tcW w:type="dxa" w:w="1440"/>
            <w:shd w:val="clear" w:color="auto" w:fill="1F497D"/>
            <w:vAlign w:val="center"/>
          </w:tcPr>
          <w:p>
            <w:pPr>
              <w:jc w:val="center"/>
            </w:pPr>
            <w:r>
              <w:rPr>
                <w:b/>
                <w:color w:val="FFFFFF"/>
                <w:sz w:val="18"/>
              </w:rPr>
              <w:t>F2 Score</w:t>
            </w:r>
          </w:p>
        </w:tc>
        <w:tc>
          <w:tcPr>
            <w:tcW w:type="dxa" w:w="3168"/>
            <w:shd w:val="clear" w:color="auto" w:fill="1F497D"/>
            <w:vAlign w:val="center"/>
          </w:tcPr>
          <w:p>
            <w:pPr>
              <w:jc w:val="center"/>
            </w:pPr>
            <w:r>
              <w:rPr>
                <w:b/>
                <w:color w:val="FFFFFF"/>
                <w:sz w:val="18"/>
              </w:rPr>
              <w:t>Notes</w:t>
            </w:r>
          </w:p>
        </w:tc>
      </w:tr>
      <w:tr>
        <w:tc>
          <w:tcPr>
            <w:tcW w:type="dxa" w:w="2160"/>
          </w:tcPr>
          <w:p/>
        </w:tc>
        <w:tc>
          <w:tcPr>
            <w:tcW w:type="dxa" w:w="2160"/>
          </w:tcPr>
          <w:p/>
        </w:tc>
        <w:tc>
          <w:tcPr>
            <w:tcW w:type="dxa" w:w="2304"/>
          </w:tcPr>
          <w:p/>
        </w:tc>
        <w:tc>
          <w:tcPr>
            <w:tcW w:type="dxa" w:w="1440"/>
          </w:tcPr>
          <w:p/>
        </w:tc>
        <w:tc>
          <w:tcPr>
            <w:tcW w:type="dxa" w:w="3168"/>
          </w:tcPr>
          <w:p/>
        </w:tc>
      </w:tr>
      <w:tr>
        <w:tc>
          <w:tcPr>
            <w:tcW w:type="dxa" w:w="2160"/>
          </w:tcPr>
          <w:p/>
        </w:tc>
        <w:tc>
          <w:tcPr>
            <w:tcW w:type="dxa" w:w="2160"/>
          </w:tcPr>
          <w:p/>
        </w:tc>
        <w:tc>
          <w:tcPr>
            <w:tcW w:type="dxa" w:w="2304"/>
          </w:tcPr>
          <w:p/>
        </w:tc>
        <w:tc>
          <w:tcPr>
            <w:tcW w:type="dxa" w:w="1440"/>
          </w:tcPr>
          <w:p/>
        </w:tc>
        <w:tc>
          <w:tcPr>
            <w:tcW w:type="dxa" w:w="3168"/>
          </w:tcPr>
          <w:p/>
        </w:tc>
      </w:tr>
      <w:tr>
        <w:tc>
          <w:tcPr>
            <w:tcW w:type="dxa" w:w="2160"/>
          </w:tcPr>
          <w:p/>
        </w:tc>
        <w:tc>
          <w:tcPr>
            <w:tcW w:type="dxa" w:w="2160"/>
          </w:tcPr>
          <w:p/>
        </w:tc>
        <w:tc>
          <w:tcPr>
            <w:tcW w:type="dxa" w:w="2304"/>
          </w:tcPr>
          <w:p/>
        </w:tc>
        <w:tc>
          <w:tcPr>
            <w:tcW w:type="dxa" w:w="1440"/>
          </w:tcPr>
          <w:p/>
        </w:tc>
        <w:tc>
          <w:tcPr>
            <w:tcW w:type="dxa" w:w="3168"/>
          </w:tcPr>
          <w:p/>
        </w:tc>
      </w:tr>
      <w:tr>
        <w:tc>
          <w:tcPr>
            <w:tcW w:type="dxa" w:w="2160"/>
            <w:vAlign w:val="center"/>
          </w:tcPr>
          <w:p>
            <w:pPr>
              <w:jc w:val="center"/>
            </w:pPr>
            <w:r>
              <w:rPr>
                <w:sz w:val="18"/>
              </w:rPr>
              <w:t>0.50 (default)</w:t>
            </w:r>
          </w:p>
        </w:tc>
        <w:tc>
          <w:tcPr>
            <w:tcW w:type="dxa" w:w="2160"/>
            <w:vAlign w:val="center"/>
          </w:tcPr>
          <w:p>
            <w:pPr>
              <w:jc w:val="center"/>
            </w:pPr>
            <w:r>
              <w:rPr>
                <w:sz w:val="18"/>
              </w:rPr>
              <w:t>67.7%</w:t>
            </w:r>
          </w:p>
        </w:tc>
        <w:tc>
          <w:tcPr>
            <w:tcW w:type="dxa" w:w="2304"/>
            <w:vAlign w:val="center"/>
          </w:tcPr>
          <w:p>
            <w:pPr>
              <w:jc w:val="center"/>
            </w:pPr>
            <w:r>
              <w:rPr>
                <w:sz w:val="18"/>
              </w:rPr>
              <w:t>36.1%</w:t>
            </w:r>
          </w:p>
        </w:tc>
        <w:tc>
          <w:tcPr>
            <w:tcW w:type="dxa" w:w="1440"/>
            <w:vAlign w:val="center"/>
          </w:tcPr>
          <w:p>
            <w:pPr>
              <w:jc w:val="center"/>
            </w:pPr>
            <w:r>
              <w:rPr>
                <w:sz w:val="18"/>
              </w:rPr>
              <w:t>—</w:t>
            </w:r>
          </w:p>
        </w:tc>
        <w:tc>
          <w:tcPr>
            <w:tcW w:type="dxa" w:w="3168"/>
            <w:vAlign w:val="center"/>
          </w:tcPr>
          <w:p>
            <w:pPr>
              <w:jc w:val="center"/>
            </w:pPr>
            <w:r>
              <w:rPr>
                <w:sz w:val="18"/>
              </w:rPr>
              <w:t>Too lenient — misses many defaults</w:t>
            </w:r>
          </w:p>
        </w:tc>
      </w:tr>
      <w:tr>
        <w:tc>
          <w:tcPr>
            <w:tcW w:type="dxa" w:w="2160"/>
            <w:shd w:val="clear" w:color="auto" w:fill="EBF2FA"/>
            <w:vAlign w:val="center"/>
          </w:tcPr>
          <w:p>
            <w:pPr>
              <w:jc w:val="center"/>
            </w:pPr>
            <w:r>
              <w:rPr>
                <w:sz w:val="18"/>
              </w:rPr>
              <w:t>0.40</w:t>
            </w:r>
          </w:p>
        </w:tc>
        <w:tc>
          <w:tcPr>
            <w:tcW w:type="dxa" w:w="2160"/>
            <w:shd w:val="clear" w:color="auto" w:fill="EBF2FA"/>
            <w:vAlign w:val="center"/>
          </w:tcPr>
          <w:p>
            <w:pPr>
              <w:jc w:val="center"/>
            </w:pPr>
            <w:r>
              <w:rPr>
                <w:sz w:val="18"/>
              </w:rPr>
              <w:t>83.0%</w:t>
            </w:r>
          </w:p>
        </w:tc>
        <w:tc>
          <w:tcPr>
            <w:tcW w:type="dxa" w:w="2304"/>
            <w:shd w:val="clear" w:color="auto" w:fill="EBF2FA"/>
            <w:vAlign w:val="center"/>
          </w:tcPr>
          <w:p>
            <w:pPr>
              <w:jc w:val="center"/>
            </w:pPr>
            <w:r>
              <w:rPr>
                <w:sz w:val="18"/>
              </w:rPr>
              <w:t>54.4%</w:t>
            </w:r>
          </w:p>
        </w:tc>
        <w:tc>
          <w:tcPr>
            <w:tcW w:type="dxa" w:w="1440"/>
            <w:shd w:val="clear" w:color="auto" w:fill="EBF2FA"/>
            <w:vAlign w:val="center"/>
          </w:tcPr>
          <w:p>
            <w:pPr>
              <w:jc w:val="center"/>
            </w:pPr>
            <w:r>
              <w:rPr>
                <w:sz w:val="18"/>
              </w:rPr>
              <w:t>—</w:t>
            </w:r>
          </w:p>
        </w:tc>
        <w:tc>
          <w:tcPr>
            <w:tcW w:type="dxa" w:w="3168"/>
            <w:shd w:val="clear" w:color="auto" w:fill="EBF2FA"/>
            <w:vAlign w:val="center"/>
          </w:tcPr>
          <w:p>
            <w:pPr>
              <w:jc w:val="center"/>
            </w:pPr>
            <w:r>
              <w:rPr>
                <w:sz w:val="18"/>
              </w:rPr>
              <w:t>Better catch but high rejection</w:t>
            </w:r>
          </w:p>
        </w:tc>
      </w:tr>
      <w:tr>
        <w:tc>
          <w:tcPr>
            <w:tcW w:type="dxa" w:w="2160"/>
            <w:vAlign w:val="center"/>
          </w:tcPr>
          <w:p>
            <w:pPr>
              <w:jc w:val="center"/>
            </w:pPr>
            <w:r>
              <w:rPr>
                <w:sz w:val="18"/>
              </w:rPr>
              <w:t>0.35 (F2-optimal)</w:t>
            </w:r>
          </w:p>
        </w:tc>
        <w:tc>
          <w:tcPr>
            <w:tcW w:type="dxa" w:w="2160"/>
            <w:vAlign w:val="center"/>
          </w:tcPr>
          <w:p>
            <w:pPr>
              <w:jc w:val="center"/>
            </w:pPr>
            <w:r>
              <w:rPr>
                <w:sz w:val="18"/>
              </w:rPr>
              <w:t>88.8%</w:t>
            </w:r>
          </w:p>
        </w:tc>
        <w:tc>
          <w:tcPr>
            <w:tcW w:type="dxa" w:w="2304"/>
            <w:vAlign w:val="center"/>
          </w:tcPr>
          <w:p>
            <w:pPr>
              <w:jc w:val="center"/>
            </w:pPr>
            <w:r>
              <w:rPr>
                <w:sz w:val="18"/>
              </w:rPr>
              <w:t>63.9%</w:t>
            </w:r>
          </w:p>
        </w:tc>
        <w:tc>
          <w:tcPr>
            <w:tcW w:type="dxa" w:w="1440"/>
            <w:vAlign w:val="center"/>
          </w:tcPr>
          <w:p>
            <w:pPr>
              <w:jc w:val="center"/>
            </w:pPr>
            <w:r>
              <w:rPr>
                <w:sz w:val="18"/>
              </w:rPr>
              <w:t>0.5960</w:t>
            </w:r>
          </w:p>
        </w:tc>
        <w:tc>
          <w:tcPr>
            <w:tcW w:type="dxa" w:w="3168"/>
            <w:vAlign w:val="center"/>
          </w:tcPr>
          <w:p>
            <w:pPr>
              <w:jc w:val="center"/>
            </w:pPr>
            <w:r>
              <w:rPr>
                <w:sz w:val="18"/>
              </w:rPr>
              <w:t>Best balance — selected</w:t>
            </w:r>
          </w:p>
        </w:tc>
      </w:tr>
    </w:tbl>
    <w:p>
      <w:pPr>
        <w:spacing w:after="120"/>
      </w:pPr>
    </w:p>
    <w:p>
      <w:r>
        <w:br w:type="page"/>
      </w:r>
    </w:p>
    <w:p>
      <w:pPr>
        <w:pStyle w:val="Heading1"/>
        <w:spacing w:before="240" w:after="120"/>
      </w:pPr>
      <w:r>
        <w:rPr>
          <w:color w:val="0D2B55"/>
        </w:rPr>
        <w:t>12. Final Model Performance</w:t>
      </w:r>
    </w:p>
    <w:p>
      <w:pPr>
        <w:pStyle w:val="Heading2"/>
        <w:spacing w:before="240" w:after="120"/>
      </w:pPr>
      <w:r>
        <w:rPr>
          <w:color w:val="1F497D"/>
        </w:rPr>
        <w:t>12.1  Confusion Matrix</w:t>
      </w:r>
    </w:p>
    <w:p>
      <w:pPr>
        <w:spacing w:after="120" w:before="40"/>
      </w:pPr>
      <w:r>
        <w:rPr>
          <w:b w:val="0"/>
          <w:i w:val="0"/>
        </w:rPr>
        <w:t>The confusion matrix shows exactly what the model predicted for each loan in the test set of 269,612 loans at the optimal threshold of 0.35:</w:t>
      </w:r>
    </w:p>
    <w:p>
      <w:pPr>
        <w:jc w:val="center"/>
      </w:pPr>
      <w:r>
        <w:drawing>
          <wp:inline xmlns:a="http://schemas.openxmlformats.org/drawingml/2006/main" xmlns:pic="http://schemas.openxmlformats.org/drawingml/2006/picture">
            <wp:extent cx="4572000" cy="3810000"/>
            <wp:docPr id="11" name="Picture 11"/>
            <wp:cNvGraphicFramePr>
              <a:graphicFrameLocks noChangeAspect="1"/>
            </wp:cNvGraphicFramePr>
            <a:graphic>
              <a:graphicData uri="http://schemas.openxmlformats.org/drawingml/2006/picture">
                <pic:pic>
                  <pic:nvPicPr>
                    <pic:cNvPr id="0" name="rpt_cm.png"/>
                    <pic:cNvPicPr/>
                  </pic:nvPicPr>
                  <pic:blipFill>
                    <a:blip r:embed="rId19"/>
                    <a:stretch>
                      <a:fillRect/>
                    </a:stretch>
                  </pic:blipFill>
                  <pic:spPr>
                    <a:xfrm>
                      <a:off x="0" y="0"/>
                      <a:ext cx="4572000" cy="3810000"/>
                    </a:xfrm>
                    <a:prstGeom prst="rect"/>
                  </pic:spPr>
                </pic:pic>
              </a:graphicData>
            </a:graphic>
          </wp:inline>
        </w:drawing>
      </w:r>
    </w:p>
    <w:p>
      <w:pPr>
        <w:spacing w:after="200"/>
        <w:jc w:val="center"/>
      </w:pPr>
      <w:r>
        <w:rPr>
          <w:i/>
          <w:color w:val="555555"/>
          <w:sz w:val="18"/>
        </w:rPr>
        <w:t>Figure 7: Confusion matrix. Darker blue = higher count.</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497D"/>
            <w:vAlign w:val="center"/>
          </w:tcPr>
          <w:p>
            <w:pPr>
              <w:jc w:val="center"/>
            </w:pPr>
            <w:r>
              <w:rPr>
                <w:b/>
                <w:color w:val="FFFFFF"/>
                <w:sz w:val="18"/>
              </w:rPr>
              <w:t>Cell</w:t>
            </w:r>
          </w:p>
        </w:tc>
        <w:tc>
          <w:tcPr>
            <w:tcW w:type="dxa" w:w="1440"/>
            <w:shd w:val="clear" w:color="auto" w:fill="1F497D"/>
            <w:vAlign w:val="center"/>
          </w:tcPr>
          <w:p>
            <w:pPr>
              <w:jc w:val="center"/>
            </w:pPr>
            <w:r>
              <w:rPr>
                <w:b/>
                <w:color w:val="FFFFFF"/>
                <w:sz w:val="18"/>
              </w:rPr>
              <w:t>Count</w:t>
            </w:r>
          </w:p>
        </w:tc>
        <w:tc>
          <w:tcPr>
            <w:tcW w:type="dxa" w:w="6048"/>
            <w:shd w:val="clear" w:color="auto" w:fill="1F497D"/>
            <w:vAlign w:val="center"/>
          </w:tcPr>
          <w:p>
            <w:pPr>
              <w:jc w:val="center"/>
            </w:pPr>
            <w:r>
              <w:rPr>
                <w:b/>
                <w:color w:val="FFFFFF"/>
                <w:sz w:val="18"/>
              </w:rPr>
              <w:t>Meaning</w:t>
            </w:r>
          </w:p>
        </w:tc>
      </w:tr>
      <w:tr>
        <w:tc>
          <w:tcPr>
            <w:tcW w:type="dxa" w:w="2592"/>
          </w:tcPr>
          <w:p/>
        </w:tc>
        <w:tc>
          <w:tcPr>
            <w:tcW w:type="dxa" w:w="1440"/>
          </w:tcPr>
          <w:p/>
        </w:tc>
        <w:tc>
          <w:tcPr>
            <w:tcW w:type="dxa" w:w="6048"/>
          </w:tcPr>
          <w:p/>
        </w:tc>
      </w:tr>
      <w:tr>
        <w:tc>
          <w:tcPr>
            <w:tcW w:type="dxa" w:w="2592"/>
          </w:tcPr>
          <w:p/>
        </w:tc>
        <w:tc>
          <w:tcPr>
            <w:tcW w:type="dxa" w:w="1440"/>
          </w:tcPr>
          <w:p/>
        </w:tc>
        <w:tc>
          <w:tcPr>
            <w:tcW w:type="dxa" w:w="6048"/>
          </w:tcPr>
          <w:p/>
        </w:tc>
      </w:tr>
      <w:tr>
        <w:tc>
          <w:tcPr>
            <w:tcW w:type="dxa" w:w="2592"/>
          </w:tcPr>
          <w:p/>
        </w:tc>
        <w:tc>
          <w:tcPr>
            <w:tcW w:type="dxa" w:w="1440"/>
          </w:tcPr>
          <w:p/>
        </w:tc>
        <w:tc>
          <w:tcPr>
            <w:tcW w:type="dxa" w:w="6048"/>
          </w:tcPr>
          <w:p/>
        </w:tc>
      </w:tr>
      <w:tr>
        <w:tc>
          <w:tcPr>
            <w:tcW w:type="dxa" w:w="2592"/>
          </w:tcPr>
          <w:p/>
        </w:tc>
        <w:tc>
          <w:tcPr>
            <w:tcW w:type="dxa" w:w="1440"/>
          </w:tcPr>
          <w:p/>
        </w:tc>
        <w:tc>
          <w:tcPr>
            <w:tcW w:type="dxa" w:w="6048"/>
          </w:tcPr>
          <w:p/>
        </w:tc>
      </w:tr>
      <w:tr>
        <w:tc>
          <w:tcPr>
            <w:tcW w:type="dxa" w:w="2592"/>
            <w:vAlign w:val="center"/>
          </w:tcPr>
          <w:p>
            <w:pPr>
              <w:jc w:val="center"/>
            </w:pPr>
            <w:r>
              <w:rPr>
                <w:sz w:val="18"/>
              </w:rPr>
              <w:t>True Negative (TN)</w:t>
            </w:r>
          </w:p>
        </w:tc>
        <w:tc>
          <w:tcPr>
            <w:tcW w:type="dxa" w:w="1440"/>
            <w:vAlign w:val="center"/>
          </w:tcPr>
          <w:p>
            <w:pPr>
              <w:jc w:val="center"/>
            </w:pPr>
            <w:r>
              <w:rPr>
                <w:sz w:val="18"/>
              </w:rPr>
              <w:t>77,800</w:t>
            </w:r>
          </w:p>
        </w:tc>
        <w:tc>
          <w:tcPr>
            <w:tcW w:type="dxa" w:w="6048"/>
            <w:vAlign w:val="center"/>
          </w:tcPr>
          <w:p>
            <w:pPr>
              <w:jc w:val="center"/>
            </w:pPr>
            <w:r>
              <w:rPr>
                <w:sz w:val="18"/>
              </w:rPr>
              <w:t>Good loans correctly approved — 36.1% of all good borrowers</w:t>
            </w:r>
          </w:p>
        </w:tc>
      </w:tr>
      <w:tr>
        <w:tc>
          <w:tcPr>
            <w:tcW w:type="dxa" w:w="2592"/>
            <w:shd w:val="clear" w:color="auto" w:fill="EBF2FA"/>
            <w:vAlign w:val="center"/>
          </w:tcPr>
          <w:p>
            <w:pPr>
              <w:jc w:val="center"/>
            </w:pPr>
            <w:r>
              <w:rPr>
                <w:sz w:val="18"/>
              </w:rPr>
              <w:t>False Positive (FP)</w:t>
            </w:r>
          </w:p>
        </w:tc>
        <w:tc>
          <w:tcPr>
            <w:tcW w:type="dxa" w:w="1440"/>
            <w:shd w:val="clear" w:color="auto" w:fill="EBF2FA"/>
            <w:vAlign w:val="center"/>
          </w:tcPr>
          <w:p>
            <w:pPr>
              <w:jc w:val="center"/>
            </w:pPr>
            <w:r>
              <w:rPr>
                <w:sz w:val="18"/>
              </w:rPr>
              <w:t>137,948</w:t>
            </w:r>
          </w:p>
        </w:tc>
        <w:tc>
          <w:tcPr>
            <w:tcW w:type="dxa" w:w="6048"/>
            <w:shd w:val="clear" w:color="auto" w:fill="EBF2FA"/>
            <w:vAlign w:val="center"/>
          </w:tcPr>
          <w:p>
            <w:pPr>
              <w:jc w:val="center"/>
            </w:pPr>
            <w:r>
              <w:rPr>
                <w:sz w:val="18"/>
              </w:rPr>
              <w:t>Good loans incorrectly rejected — 63.9% false alarm rate</w:t>
            </w:r>
          </w:p>
        </w:tc>
      </w:tr>
      <w:tr>
        <w:tc>
          <w:tcPr>
            <w:tcW w:type="dxa" w:w="2592"/>
            <w:vAlign w:val="center"/>
          </w:tcPr>
          <w:p>
            <w:pPr>
              <w:jc w:val="center"/>
            </w:pPr>
            <w:r>
              <w:rPr>
                <w:sz w:val="18"/>
              </w:rPr>
              <w:t>False Negative (FN)</w:t>
            </w:r>
          </w:p>
        </w:tc>
        <w:tc>
          <w:tcPr>
            <w:tcW w:type="dxa" w:w="1440"/>
            <w:vAlign w:val="center"/>
          </w:tcPr>
          <w:p>
            <w:pPr>
              <w:jc w:val="center"/>
            </w:pPr>
            <w:r>
              <w:rPr>
                <w:sz w:val="18"/>
              </w:rPr>
              <w:t>6,034</w:t>
            </w:r>
          </w:p>
        </w:tc>
        <w:tc>
          <w:tcPr>
            <w:tcW w:type="dxa" w:w="6048"/>
            <w:vAlign w:val="center"/>
          </w:tcPr>
          <w:p>
            <w:pPr>
              <w:jc w:val="center"/>
            </w:pPr>
            <w:r>
              <w:rPr>
                <w:sz w:val="18"/>
              </w:rPr>
              <w:t>Defaults that slipped through — 11.2% of all defaults missed</w:t>
            </w:r>
          </w:p>
        </w:tc>
      </w:tr>
      <w:tr>
        <w:tc>
          <w:tcPr>
            <w:tcW w:type="dxa" w:w="2592"/>
            <w:shd w:val="clear" w:color="auto" w:fill="EBF2FA"/>
            <w:vAlign w:val="center"/>
          </w:tcPr>
          <w:p>
            <w:pPr>
              <w:jc w:val="center"/>
            </w:pPr>
            <w:r>
              <w:rPr>
                <w:sz w:val="18"/>
              </w:rPr>
              <w:t>True Positive (TP)</w:t>
            </w:r>
          </w:p>
        </w:tc>
        <w:tc>
          <w:tcPr>
            <w:tcW w:type="dxa" w:w="1440"/>
            <w:shd w:val="clear" w:color="auto" w:fill="EBF2FA"/>
            <w:vAlign w:val="center"/>
          </w:tcPr>
          <w:p>
            <w:pPr>
              <w:jc w:val="center"/>
            </w:pPr>
            <w:r>
              <w:rPr>
                <w:sz w:val="18"/>
              </w:rPr>
              <w:t>47,830</w:t>
            </w:r>
          </w:p>
        </w:tc>
        <w:tc>
          <w:tcPr>
            <w:tcW w:type="dxa" w:w="6048"/>
            <w:shd w:val="clear" w:color="auto" w:fill="EBF2FA"/>
            <w:vAlign w:val="center"/>
          </w:tcPr>
          <w:p>
            <w:pPr>
              <w:jc w:val="center"/>
            </w:pPr>
            <w:r>
              <w:rPr>
                <w:sz w:val="18"/>
              </w:rPr>
              <w:t>Defaults correctly caught and blocked — 88.8% catch rate</w:t>
            </w:r>
          </w:p>
        </w:tc>
      </w:tr>
    </w:tbl>
    <w:p>
      <w:pPr>
        <w:spacing w:after="120"/>
      </w:pPr>
    </w:p>
    <w:p>
      <w:pPr>
        <w:pStyle w:val="Heading2"/>
        <w:spacing w:before="240" w:after="120"/>
      </w:pPr>
      <w:r>
        <w:rPr>
          <w:color w:val="1F497D"/>
        </w:rPr>
        <w:t>12.2  Score Distribution</w:t>
      </w:r>
    </w:p>
    <w:p>
      <w:pPr>
        <w:spacing w:after="120" w:before="40"/>
      </w:pPr>
      <w:r>
        <w:rPr>
          <w:b w:val="0"/>
          <w:i w:val="0"/>
        </w:rPr>
        <w:t>The chart below shows the distribution of predicted default probabilities for good loans (blue) and actual defaults (red). The closer these distributions are to each other, the harder the classification problem. The vertical line is the decision threshold — everything to its right is rejected.</w:t>
      </w:r>
    </w:p>
    <w:p>
      <w:pPr>
        <w:jc w:val="center"/>
      </w:pPr>
      <w:r>
        <w:drawing>
          <wp:inline xmlns:a="http://schemas.openxmlformats.org/drawingml/2006/main" xmlns:pic="http://schemas.openxmlformats.org/drawingml/2006/picture">
            <wp:extent cx="5303520" cy="2357120"/>
            <wp:docPr id="12" name="Picture 12"/>
            <wp:cNvGraphicFramePr>
              <a:graphicFrameLocks noChangeAspect="1"/>
            </wp:cNvGraphicFramePr>
            <a:graphic>
              <a:graphicData uri="http://schemas.openxmlformats.org/drawingml/2006/picture">
                <pic:pic>
                  <pic:nvPicPr>
                    <pic:cNvPr id="0" name="rpt_score_dist.png"/>
                    <pic:cNvPicPr/>
                  </pic:nvPicPr>
                  <pic:blipFill>
                    <a:blip r:embed="rId20"/>
                    <a:stretch>
                      <a:fillRect/>
                    </a:stretch>
                  </pic:blipFill>
                  <pic:spPr>
                    <a:xfrm>
                      <a:off x="0" y="0"/>
                      <a:ext cx="5303520" cy="2357120"/>
                    </a:xfrm>
                    <a:prstGeom prst="rect"/>
                  </pic:spPr>
                </pic:pic>
              </a:graphicData>
            </a:graphic>
          </wp:inline>
        </w:drawing>
      </w:r>
    </w:p>
    <w:p>
      <w:pPr>
        <w:spacing w:after="200"/>
        <w:jc w:val="center"/>
      </w:pPr>
      <w:r>
        <w:rPr>
          <w:i/>
          <w:color w:val="555555"/>
          <w:sz w:val="18"/>
        </w:rPr>
        <w:t>Figure 8: Score distributions. The overlap between blue and red represents the inherent difficulty of the problem.</w:t>
      </w:r>
    </w:p>
    <w:p>
      <w:pPr>
        <w:pStyle w:val="Heading2"/>
        <w:spacing w:before="240" w:after="120"/>
      </w:pPr>
      <w:r>
        <w:rPr>
          <w:color w:val="1F497D"/>
        </w:rPr>
        <w:t>12.3  Feature Importance</w:t>
      </w:r>
    </w:p>
    <w:p>
      <w:pPr>
        <w:spacing w:after="120" w:before="40"/>
      </w:pPr>
      <w:r>
        <w:rPr>
          <w:b w:val="0"/>
          <w:i w:val="0"/>
        </w:rPr>
        <w:t>XGBoost assigns an importance score to each feature based on how often it was used in splits and how much it reduced prediction error. The top features confirm our hypotheses and domain intuition:</w:t>
      </w:r>
    </w:p>
    <w:p>
      <w:pPr>
        <w:pStyle w:val="ListBullet"/>
        <w:spacing w:after="60" w:before="40"/>
      </w:pPr>
      <w:r>
        <w:rPr>
          <w:b/>
        </w:rPr>
        <w:t xml:space="preserve">int_rate / grade: </w:t>
      </w:r>
      <w:r>
        <w:t>Interest rate and grade are the lender's own risk assessment — the strongest signal available.</w:t>
      </w:r>
    </w:p>
    <w:p>
      <w:pPr>
        <w:pStyle w:val="ListBullet"/>
        <w:spacing w:after="60" w:before="40"/>
      </w:pPr>
      <w:r>
        <w:rPr>
          <w:b/>
        </w:rPr>
        <w:t xml:space="preserve">dti: </w:t>
      </w:r>
      <w:r>
        <w:t>Debt-to-income ratio — confirms H1. Higher DTI = higher default risk.</w:t>
      </w:r>
    </w:p>
    <w:p>
      <w:pPr>
        <w:pStyle w:val="ListBullet"/>
        <w:spacing w:after="60" w:before="40"/>
      </w:pPr>
      <w:r>
        <w:rPr>
          <w:b/>
        </w:rPr>
        <w:t xml:space="preserve">annual_inc: </w:t>
      </w:r>
      <w:r>
        <w:t>Annual income — confirms H4. Lower income borrowers default more.</w:t>
      </w:r>
    </w:p>
    <w:p>
      <w:pPr>
        <w:pStyle w:val="ListBullet"/>
        <w:spacing w:after="60" w:before="40"/>
      </w:pPr>
      <w:r>
        <w:rPr>
          <w:b/>
        </w:rPr>
        <w:t xml:space="preserve">revol_util: </w:t>
      </w:r>
      <w:r>
        <w:t>Revolving line utilisation — borrowers using most of their credit limit are under financial stress.</w:t>
      </w:r>
    </w:p>
    <w:p>
      <w:pPr>
        <w:pStyle w:val="ListBullet"/>
        <w:spacing w:after="60" w:before="40"/>
      </w:pPr>
      <w:r>
        <w:rPr>
          <w:b/>
        </w:rPr>
        <w:t xml:space="preserve">inq_last_6mths: </w:t>
      </w:r>
      <w:r>
        <w:t>Recent credit enquiries — multiple applications in a short window signals financial distress.</w:t>
      </w:r>
    </w:p>
    <w:p>
      <w:pPr>
        <w:jc w:val="center"/>
      </w:pPr>
      <w:r>
        <w:drawing>
          <wp:inline xmlns:a="http://schemas.openxmlformats.org/drawingml/2006/main" xmlns:pic="http://schemas.openxmlformats.org/drawingml/2006/picture">
            <wp:extent cx="5029200" cy="3352800"/>
            <wp:docPr id="13" name="Picture 13"/>
            <wp:cNvGraphicFramePr>
              <a:graphicFrameLocks noChangeAspect="1"/>
            </wp:cNvGraphicFramePr>
            <a:graphic>
              <a:graphicData uri="http://schemas.openxmlformats.org/drawingml/2006/picture">
                <pic:pic>
                  <pic:nvPicPr>
                    <pic:cNvPr id="0" name="rpt_feat_imp.png"/>
                    <pic:cNvPicPr/>
                  </pic:nvPicPr>
                  <pic:blipFill>
                    <a:blip r:embed="rId21"/>
                    <a:stretch>
                      <a:fillRect/>
                    </a:stretch>
                  </pic:blipFill>
                  <pic:spPr>
                    <a:xfrm>
                      <a:off x="0" y="0"/>
                      <a:ext cx="5029200" cy="3352800"/>
                    </a:xfrm>
                    <a:prstGeom prst="rect"/>
                  </pic:spPr>
                </pic:pic>
              </a:graphicData>
            </a:graphic>
          </wp:inline>
        </w:drawing>
      </w:r>
    </w:p>
    <w:p>
      <w:pPr>
        <w:spacing w:after="200"/>
        <w:jc w:val="center"/>
      </w:pPr>
      <w:r>
        <w:rPr>
          <w:i/>
          <w:color w:val="555555"/>
          <w:sz w:val="18"/>
        </w:rPr>
        <w:t>Figure 9: Top 15 most important features. Red bars are above-median importance.</w:t>
      </w:r>
    </w:p>
    <w:p>
      <w:r>
        <w:br w:type="page"/>
      </w:r>
    </w:p>
    <w:p>
      <w:pPr>
        <w:pStyle w:val="Heading1"/>
        <w:spacing w:before="240" w:after="120"/>
      </w:pPr>
      <w:r>
        <w:rPr>
          <w:color w:val="0D2B55"/>
        </w:rPr>
        <w:t>13. Business Impact</w:t>
      </w:r>
    </w:p>
    <w:p>
      <w:pPr>
        <w:pStyle w:val="Heading2"/>
        <w:spacing w:before="240" w:after="120"/>
      </w:pPr>
      <w:r>
        <w:rPr>
          <w:color w:val="1F497D"/>
        </w:rPr>
        <w:t>13.1  What Happens Without the Model?</w:t>
      </w:r>
    </w:p>
    <w:p>
      <w:pPr>
        <w:spacing w:after="120" w:before="40"/>
      </w:pPr>
      <w:r>
        <w:rPr>
          <w:b w:val="0"/>
          <w:i w:val="0"/>
        </w:rPr>
        <w:t>Without any screening model, if LendingClub approves all 269,612 applications in the test set, 53,864 (20.0%) of those loans will default. Every funded default represents a complete loss of principal for the investor.</w:t>
      </w:r>
    </w:p>
    <w:p>
      <w:pPr>
        <w:pStyle w:val="Heading2"/>
        <w:spacing w:before="240" w:after="120"/>
      </w:pPr>
      <w:r>
        <w:rPr>
          <w:color w:val="1F497D"/>
        </w:rPr>
        <w:t>13.2  What Happens With the Model?</w:t>
      </w:r>
    </w:p>
    <w:p>
      <w:pPr>
        <w:spacing w:after="120" w:before="40"/>
      </w:pPr>
      <w:r>
        <w:rPr>
          <w:b w:val="0"/>
          <w:i w:val="0"/>
        </w:rPr>
        <w:t>With the XGBoost model at threshold 0.35, the platform rejects the 185,778 highest-risk applications. Of the 83,834 loans that are approved, only 6,034 will default — a default rate of 7.20% instead of 19.98%.</w:t>
      </w:r>
    </w:p>
    <w:tbl>
      <w:tblPr>
        <w:tblStyle w:val="TableGrid"/>
        <w:tblW w:type="auto" w:w="0"/>
        <w:tblLook w:firstColumn="1" w:firstRow="1" w:lastColumn="0" w:lastRow="0" w:noHBand="0" w:noVBand="1" w:val="04A0"/>
      </w:tblPr>
      <w:tblGrid>
        <w:gridCol w:w="8640"/>
      </w:tblGrid>
      <w:tr>
        <w:tc>
          <w:tcPr>
            <w:tcW w:type="dxa" w:w="8640"/>
            <w:shd w:val="clear" w:color="auto" w:fill="1F497D"/>
          </w:tcPr>
          <w:p>
            <w:pPr>
              <w:spacing w:before="80" w:after="80"/>
            </w:pPr>
            <w:r>
              <w:rPr>
                <w:b/>
                <w:color w:val="FFFFFF"/>
                <w:sz w:val="18"/>
              </w:rPr>
              <w:t xml:space="preserve">PLAIN ENGLISH IMPACT:  </w:t>
            </w:r>
            <w:r>
              <w:rPr>
                <w:color w:val="FFFFFF"/>
                <w:sz w:val="18"/>
              </w:rPr>
              <w:t>Plain English: For every 100 loan applications, the model approves approximately 31. Of those 31 approved loans, only 7.2 will default — compared to 20.0 defaults if all 100 were approved. The model eliminates 64% of default exposure.</w:t>
            </w:r>
          </w:p>
        </w:tc>
      </w:tr>
    </w:tbl>
    <w:p>
      <w:pPr>
        <w:spacing w:after="80"/>
      </w:pPr>
    </w:p>
    <w:p>
      <w:pPr>
        <w:pStyle w:val="Heading2"/>
        <w:spacing w:before="240" w:after="120"/>
      </w:pPr>
      <w:r>
        <w:rPr>
          <w:color w:val="1F497D"/>
        </w:rPr>
        <w:t>13.3  Full Business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6E4F0"/>
          </w:tcPr>
          <w:p>
            <w:r>
              <w:rPr>
                <w:b/>
                <w:sz w:val="18"/>
              </w:rPr>
              <w:t>Total Applications</w:t>
            </w:r>
          </w:p>
        </w:tc>
        <w:tc>
          <w:tcPr>
            <w:tcW w:type="dxa" w:w="2160"/>
          </w:tcPr>
          <w:p>
            <w:r>
              <w:rPr>
                <w:b/>
                <w:color w:val="C0392B"/>
                <w:sz w:val="18"/>
              </w:rPr>
              <w:t>269,612</w:t>
            </w:r>
          </w:p>
        </w:tc>
        <w:tc>
          <w:tcPr>
            <w:tcW w:type="dxa" w:w="2160"/>
            <w:shd w:val="clear" w:color="auto" w:fill="D6E4F0"/>
          </w:tcPr>
          <w:p>
            <w:r>
              <w:rPr>
                <w:b/>
                <w:sz w:val="18"/>
              </w:rPr>
              <w:t>Approved by Model</w:t>
            </w:r>
          </w:p>
        </w:tc>
        <w:tc>
          <w:tcPr>
            <w:tcW w:type="dxa" w:w="2160"/>
          </w:tcPr>
          <w:p>
            <w:r>
              <w:rPr>
                <w:b/>
                <w:color w:val="C0392B"/>
                <w:sz w:val="18"/>
              </w:rPr>
              <w:t>83,834  (31.1%)</w:t>
            </w:r>
          </w:p>
        </w:tc>
      </w:tr>
      <w:tr>
        <w:tc>
          <w:tcPr>
            <w:tcW w:type="dxa" w:w="2160"/>
            <w:shd w:val="clear" w:color="auto" w:fill="D6E4F0"/>
          </w:tcPr>
          <w:p>
            <w:r>
              <w:rPr>
                <w:b/>
                <w:sz w:val="18"/>
              </w:rPr>
              <w:t>Rejected by Model</w:t>
            </w:r>
          </w:p>
        </w:tc>
        <w:tc>
          <w:tcPr>
            <w:tcW w:type="dxa" w:w="2160"/>
          </w:tcPr>
          <w:p>
            <w:r>
              <w:rPr>
                <w:b/>
                <w:color w:val="C0392B"/>
                <w:sz w:val="18"/>
              </w:rPr>
              <w:t>185,778  (68.9%)</w:t>
            </w:r>
          </w:p>
        </w:tc>
        <w:tc>
          <w:tcPr>
            <w:tcW w:type="dxa" w:w="2160"/>
            <w:shd w:val="clear" w:color="auto" w:fill="D6E4F0"/>
          </w:tcPr>
          <w:p>
            <w:r>
              <w:rPr>
                <w:b/>
                <w:sz w:val="18"/>
              </w:rPr>
              <w:t>Defaults in Population</w:t>
            </w:r>
          </w:p>
        </w:tc>
        <w:tc>
          <w:tcPr>
            <w:tcW w:type="dxa" w:w="2160"/>
          </w:tcPr>
          <w:p>
            <w:r>
              <w:rPr>
                <w:b/>
                <w:color w:val="C0392B"/>
                <w:sz w:val="18"/>
              </w:rPr>
              <w:t>53,864</w:t>
            </w:r>
          </w:p>
        </w:tc>
      </w:tr>
      <w:tr>
        <w:tc>
          <w:tcPr>
            <w:tcW w:type="dxa" w:w="2160"/>
            <w:shd w:val="clear" w:color="auto" w:fill="D6E4F0"/>
          </w:tcPr>
          <w:p>
            <w:r>
              <w:rPr>
                <w:b/>
                <w:sz w:val="18"/>
              </w:rPr>
              <w:t>Defaults Caught &amp; Blocked</w:t>
            </w:r>
          </w:p>
        </w:tc>
        <w:tc>
          <w:tcPr>
            <w:tcW w:type="dxa" w:w="2160"/>
          </w:tcPr>
          <w:p>
            <w:r>
              <w:rPr>
                <w:b/>
                <w:color w:val="C0392B"/>
                <w:sz w:val="18"/>
              </w:rPr>
              <w:t>47,830  (88.8%)</w:t>
            </w:r>
          </w:p>
        </w:tc>
        <w:tc>
          <w:tcPr>
            <w:tcW w:type="dxa" w:w="2160"/>
            <w:shd w:val="clear" w:color="auto" w:fill="D6E4F0"/>
          </w:tcPr>
          <w:p>
            <w:r>
              <w:rPr>
                <w:b/>
                <w:sz w:val="18"/>
              </w:rPr>
              <w:t>Defaults Missed</w:t>
            </w:r>
          </w:p>
        </w:tc>
        <w:tc>
          <w:tcPr>
            <w:tcW w:type="dxa" w:w="2160"/>
          </w:tcPr>
          <w:p>
            <w:r>
              <w:rPr>
                <w:b/>
                <w:color w:val="C0392B"/>
                <w:sz w:val="18"/>
              </w:rPr>
              <w:t>6,034  (11.2%)</w:t>
            </w:r>
          </w:p>
        </w:tc>
      </w:tr>
      <w:tr>
        <w:tc>
          <w:tcPr>
            <w:tcW w:type="dxa" w:w="2160"/>
            <w:shd w:val="clear" w:color="auto" w:fill="D6E4F0"/>
          </w:tcPr>
          <w:p>
            <w:r>
              <w:rPr>
                <w:b/>
                <w:sz w:val="18"/>
              </w:rPr>
              <w:t>Good Borrowers Approved</w:t>
            </w:r>
          </w:p>
        </w:tc>
        <w:tc>
          <w:tcPr>
            <w:tcW w:type="dxa" w:w="2160"/>
          </w:tcPr>
          <w:p>
            <w:r>
              <w:rPr>
                <w:b/>
                <w:color w:val="C0392B"/>
                <w:sz w:val="18"/>
              </w:rPr>
              <w:t>77,800  (36.1%)</w:t>
            </w:r>
          </w:p>
        </w:tc>
        <w:tc>
          <w:tcPr>
            <w:tcW w:type="dxa" w:w="2160"/>
            <w:shd w:val="clear" w:color="auto" w:fill="D6E4F0"/>
          </w:tcPr>
          <w:p>
            <w:r>
              <w:rPr>
                <w:b/>
                <w:sz w:val="18"/>
              </w:rPr>
              <w:t>Good Borrowers Rejected</w:t>
            </w:r>
          </w:p>
        </w:tc>
        <w:tc>
          <w:tcPr>
            <w:tcW w:type="dxa" w:w="2160"/>
          </w:tcPr>
          <w:p>
            <w:r>
              <w:rPr>
                <w:b/>
                <w:color w:val="C0392B"/>
                <w:sz w:val="18"/>
              </w:rPr>
              <w:t>137,948  (63.9%)</w:t>
            </w:r>
          </w:p>
        </w:tc>
      </w:tr>
      <w:tr>
        <w:tc>
          <w:tcPr>
            <w:tcW w:type="dxa" w:w="2160"/>
            <w:shd w:val="clear" w:color="auto" w:fill="D6E4F0"/>
          </w:tcPr>
          <w:p>
            <w:r>
              <w:rPr>
                <w:b/>
                <w:sz w:val="18"/>
              </w:rPr>
              <w:t>Default Rate (No Model)</w:t>
            </w:r>
          </w:p>
        </w:tc>
        <w:tc>
          <w:tcPr>
            <w:tcW w:type="dxa" w:w="2160"/>
          </w:tcPr>
          <w:p>
            <w:r>
              <w:rPr>
                <w:b/>
                <w:color w:val="C0392B"/>
                <w:sz w:val="18"/>
              </w:rPr>
              <w:t>19.98%</w:t>
            </w:r>
          </w:p>
        </w:tc>
        <w:tc>
          <w:tcPr>
            <w:tcW w:type="dxa" w:w="2160"/>
            <w:shd w:val="clear" w:color="auto" w:fill="D6E4F0"/>
          </w:tcPr>
          <w:p>
            <w:r>
              <w:rPr>
                <w:b/>
                <w:sz w:val="18"/>
              </w:rPr>
              <w:t>Default Rate (With Model)</w:t>
            </w:r>
          </w:p>
        </w:tc>
        <w:tc>
          <w:tcPr>
            <w:tcW w:type="dxa" w:w="2160"/>
          </w:tcPr>
          <w:p>
            <w:r>
              <w:rPr>
                <w:b/>
                <w:color w:val="C0392B"/>
                <w:sz w:val="18"/>
              </w:rPr>
              <w:t>7.20%</w:t>
            </w:r>
          </w:p>
        </w:tc>
      </w:tr>
      <w:tr>
        <w:tc>
          <w:tcPr>
            <w:tcW w:type="dxa" w:w="2160"/>
            <w:shd w:val="clear" w:color="auto" w:fill="D6E4F0"/>
          </w:tcPr>
          <w:p>
            <w:r>
              <w:rPr>
                <w:b/>
                <w:sz w:val="18"/>
              </w:rPr>
              <w:t>Default Rate Reduction</w:t>
            </w:r>
          </w:p>
        </w:tc>
        <w:tc>
          <w:tcPr>
            <w:tcW w:type="dxa" w:w="2160"/>
          </w:tcPr>
          <w:p>
            <w:r>
              <w:rPr>
                <w:b/>
                <w:color w:val="C0392B"/>
                <w:sz w:val="18"/>
              </w:rPr>
              <w:t>64%</w:t>
            </w:r>
          </w:p>
        </w:tc>
        <w:tc>
          <w:tcPr>
            <w:tcW w:type="dxa" w:w="2160"/>
            <w:shd w:val="clear" w:color="auto" w:fill="D6E4F0"/>
          </w:tcPr>
          <w:p>
            <w:r>
              <w:rPr>
                <w:b/>
                <w:sz w:val="18"/>
              </w:rPr>
              <w:t>ROC-AUC</w:t>
            </w:r>
          </w:p>
        </w:tc>
        <w:tc>
          <w:tcPr>
            <w:tcW w:type="dxa" w:w="2160"/>
          </w:tcPr>
          <w:p>
            <w:r>
              <w:rPr>
                <w:b/>
                <w:color w:val="C0392B"/>
                <w:sz w:val="18"/>
              </w:rPr>
              <w:t>0.7170</w:t>
            </w:r>
          </w:p>
        </w:tc>
      </w:tr>
    </w:tbl>
    <w:p>
      <w:pPr>
        <w:spacing w:after="120"/>
      </w:pPr>
    </w:p>
    <w:p>
      <w:pPr>
        <w:pStyle w:val="Heading2"/>
        <w:spacing w:before="240" w:after="120"/>
      </w:pPr>
      <w:r>
        <w:rPr>
          <w:color w:val="1F497D"/>
        </w:rPr>
        <w:t>13.4  The Business Tradeoff</w:t>
      </w:r>
    </w:p>
    <w:p>
      <w:pPr>
        <w:spacing w:after="120" w:before="40"/>
      </w:pPr>
      <w:r>
        <w:rPr>
          <w:b w:val="0"/>
          <w:i w:val="0"/>
        </w:rPr>
        <w:t>The model rejects 63.9% of good borrowers — these are potential customers who would have repaid their loan and generated revenue. This is the cost of risk reduction. The business must decide whether the 64% reduction in default exposure justifies the 64% reduction in loan origination volume. This tradeoff can be adjusted by changing the threshold: a higher threshold (e.g., 0.45) approves more borrowers but catches fewer defaults; a lower threshold (e.g., 0.25) is more aggressive but rejects even more good applicants.</w:t>
      </w:r>
    </w:p>
    <w:p>
      <w:r>
        <w:br w:type="page"/>
      </w:r>
    </w:p>
    <w:p>
      <w:pPr>
        <w:pStyle w:val="Heading1"/>
        <w:spacing w:before="240" w:after="120"/>
      </w:pPr>
      <w:r>
        <w:rPr>
          <w:color w:val="0D2B55"/>
        </w:rPr>
        <w:t>14. Conclusions &amp; Recommendations</w:t>
      </w:r>
    </w:p>
    <w:p>
      <w:pPr>
        <w:pStyle w:val="Heading2"/>
        <w:spacing w:before="240" w:after="120"/>
      </w:pPr>
      <w:r>
        <w:rPr>
          <w:color w:val="1F497D"/>
        </w:rPr>
        <w:t>14.1  What We Proved</w:t>
      </w:r>
    </w:p>
    <w:p>
      <w:pPr>
        <w:pStyle w:val="ListBullet"/>
        <w:spacing w:after="60" w:before="40"/>
      </w:pPr>
      <w:r>
        <w:rPr>
          <w:b/>
        </w:rPr>
        <w:t xml:space="preserve">H1 Confirmed: </w:t>
      </w:r>
      <w:r>
        <w:t>Higher DTI is associated with higher default risk. DTI is in the top 5 most important features.</w:t>
      </w:r>
    </w:p>
    <w:p>
      <w:pPr>
        <w:pStyle w:val="ListBullet"/>
        <w:spacing w:after="60" w:before="40"/>
      </w:pPr>
      <w:r>
        <w:rPr>
          <w:b/>
        </w:rPr>
        <w:t xml:space="preserve">H2 Weak: </w:t>
      </w:r>
      <w:r>
        <w:t>Credit history length has a statistically significant but small effect. Contributes modestly to the model.</w:t>
      </w:r>
    </w:p>
    <w:p>
      <w:pPr>
        <w:pStyle w:val="ListBullet"/>
        <w:spacing w:after="60" w:before="40"/>
      </w:pPr>
      <w:r>
        <w:rPr>
          <w:b/>
        </w:rPr>
        <w:t xml:space="preserve">H3 Confirmed: </w:t>
      </w:r>
      <w:r>
        <w:t>Loan purpose strongly predicts default. Small business loans carry the highest risk; car loans the lowest.</w:t>
      </w:r>
    </w:p>
    <w:p>
      <w:pPr>
        <w:pStyle w:val="ListBullet"/>
        <w:spacing w:after="60" w:before="40"/>
      </w:pPr>
      <w:r>
        <w:rPr>
          <w:b/>
        </w:rPr>
        <w:t xml:space="preserve">H4 Confirmed: </w:t>
      </w:r>
      <w:r>
        <w:t>Lower income correlates with higher default. Income features among the top predictors.</w:t>
      </w:r>
    </w:p>
    <w:p>
      <w:pPr>
        <w:pStyle w:val="ListBullet"/>
        <w:spacing w:after="60" w:before="40"/>
      </w:pPr>
      <w:r>
        <w:rPr>
          <w:b/>
        </w:rPr>
        <w:t xml:space="preserve">H5 Weak: </w:t>
      </w:r>
      <w:r>
        <w:t>Derogatory marks have a small but real effect. Converted to a binary flag (has_derogatory) for best signal extraction.</w:t>
      </w:r>
    </w:p>
    <w:p>
      <w:pPr>
        <w:pStyle w:val="Heading2"/>
        <w:spacing w:before="240" w:after="120"/>
      </w:pPr>
      <w:r>
        <w:rPr>
          <w:color w:val="1F497D"/>
        </w:rPr>
        <w:t>14.2  Recommendations</w:t>
      </w:r>
    </w:p>
    <w:p>
      <w:pPr>
        <w:pStyle w:val="ListBullet"/>
        <w:spacing w:after="60" w:before="40"/>
      </w:pPr>
      <w:r>
        <w:rPr>
          <w:b/>
        </w:rPr>
        <w:t xml:space="preserve">Deploy XGBoost at threshold 0.35 </w:t>
      </w:r>
      <w:r>
        <w:t>as the primary loan screening tool. This configuration is validated on 269,612 real loans.</w:t>
      </w:r>
    </w:p>
    <w:p>
      <w:pPr>
        <w:pStyle w:val="ListBullet"/>
        <w:spacing w:after="60" w:before="40"/>
      </w:pPr>
      <w:r>
        <w:rPr>
          <w:b/>
        </w:rPr>
        <w:t xml:space="preserve">Review threshold quarterly </w:t>
      </w:r>
      <w:r>
        <w:t>— borrower behaviour shifts over economic cycles. What worked in 2015 may not work in 2026.</w:t>
      </w:r>
    </w:p>
    <w:p>
      <w:pPr>
        <w:pStyle w:val="ListBullet"/>
        <w:spacing w:after="60" w:before="40"/>
      </w:pPr>
      <w:r>
        <w:rPr>
          <w:b/>
        </w:rPr>
        <w:t xml:space="preserve">Conduct human review for borderline scores </w:t>
      </w:r>
      <w:r>
        <w:t>(probability between 0.28–0.42). These loans are genuinely uncertain; a human officer can add context the model cannot.</w:t>
      </w:r>
    </w:p>
    <w:p>
      <w:pPr>
        <w:pStyle w:val="ListBullet"/>
        <w:spacing w:after="60" w:before="40"/>
      </w:pPr>
      <w:r>
        <w:rPr>
          <w:b/>
        </w:rPr>
        <w:t xml:space="preserve">Enrich features for next model version </w:t>
      </w:r>
      <w:r>
        <w:t>— FICO score, payment history, geographic region, and macroeconomic indicators could push AUC above 0.75.</w:t>
      </w:r>
    </w:p>
    <w:p>
      <w:pPr>
        <w:pStyle w:val="ListBullet"/>
        <w:spacing w:after="60" w:before="40"/>
      </w:pPr>
      <w:r>
        <w:rPr>
          <w:b/>
        </w:rPr>
        <w:t xml:space="preserve">Monitor for concept drift </w:t>
      </w:r>
      <w:r>
        <w:t>— retrain on a rolling 24-month window. Economic recessions change default patterns rapidly.</w:t>
      </w:r>
    </w:p>
    <w:p>
      <w:pPr>
        <w:pStyle w:val="ListBullet"/>
        <w:spacing w:after="60" w:before="40"/>
      </w:pPr>
      <w:r>
        <w:rPr>
          <w:b/>
        </w:rPr>
        <w:t xml:space="preserve">Consider calibration </w:t>
      </w:r>
      <w:r>
        <w:t>— the raw probabilities are not perfectly calibrated. Platt scaling or isotonic regression would make the probability output more reliable for risk pricing.</w:t>
      </w:r>
    </w:p>
    <w:p>
      <w:r>
        <w:br w:type="page"/>
      </w:r>
    </w:p>
    <w:p>
      <w:pPr>
        <w:pStyle w:val="Heading1"/>
        <w:spacing w:before="240" w:after="120"/>
      </w:pPr>
      <w:r>
        <w:rPr>
          <w:color w:val="0D2B55"/>
        </w:rPr>
        <w:t>15. Limitations &amp; Future Work</w:t>
      </w:r>
    </w:p>
    <w:p>
      <w:pPr>
        <w:pStyle w:val="Heading2"/>
        <w:spacing w:before="240" w:after="120"/>
      </w:pPr>
      <w:r>
        <w:rPr>
          <w:color w:val="1F497D"/>
        </w:rPr>
        <w:t>15.1  Current Limitations</w:t>
      </w:r>
    </w:p>
    <w:p>
      <w:pPr>
        <w:pStyle w:val="ListBullet"/>
        <w:spacing w:after="60" w:before="40"/>
      </w:pPr>
      <w:r>
        <w:rPr>
          <w:b/>
        </w:rPr>
        <w:t xml:space="preserve">AUC of 0.717 is moderate: </w:t>
      </w:r>
      <w:r>
        <w:t>The model correctly separates defaults from paid loans about 71.7% of the time. There is meaningful room for improvement, particularly through better features.</w:t>
      </w:r>
    </w:p>
    <w:p>
      <w:pPr>
        <w:pStyle w:val="ListBullet"/>
        <w:spacing w:after="60" w:before="40"/>
      </w:pPr>
      <w:r>
        <w:rPr>
          <w:b/>
        </w:rPr>
        <w:t xml:space="preserve">Dataset covers 2007–2018: </w:t>
      </w:r>
      <w:r>
        <w:t>Economic conditions have changed significantly. The 2008 financial crisis distorts some patterns in the earlier data.</w:t>
      </w:r>
    </w:p>
    <w:p>
      <w:pPr>
        <w:pStyle w:val="ListBullet"/>
        <w:spacing w:after="60" w:before="40"/>
      </w:pPr>
      <w:r>
        <w:rPr>
          <w:b/>
        </w:rPr>
        <w:t xml:space="preserve">Class imbalance handling: </w:t>
      </w:r>
      <w:r>
        <w:t>We used scale_pos_weight in XGBoost. SMOTE (Synthetic Minority Oversampling Technique) was not applied and may improve recall further.</w:t>
      </w:r>
    </w:p>
    <w:p>
      <w:pPr>
        <w:pStyle w:val="ListBullet"/>
        <w:spacing w:after="60" w:before="40"/>
      </w:pPr>
      <w:r>
        <w:rPr>
          <w:b/>
        </w:rPr>
        <w:t xml:space="preserve">No probability calibration: </w:t>
      </w:r>
      <w:r>
        <w:t>The model's raw output probabilities are not calibrated — a predicted 0.6 does not mean exactly 60% chance of default.</w:t>
      </w:r>
    </w:p>
    <w:p>
      <w:pPr>
        <w:pStyle w:val="ListBullet"/>
        <w:spacing w:after="60" w:before="40"/>
      </w:pPr>
      <w:r>
        <w:rPr>
          <w:b/>
        </w:rPr>
        <w:t xml:space="preserve">Static threshold: </w:t>
      </w:r>
      <w:r>
        <w:t>A single global threshold is applied to all loan types and amounts. A tiered approach (different thresholds by loan purpose or grade) may be more effective.</w:t>
      </w:r>
    </w:p>
    <w:p>
      <w:pPr>
        <w:pStyle w:val="Heading2"/>
        <w:spacing w:before="240" w:after="120"/>
      </w:pPr>
      <w:r>
        <w:rPr>
          <w:color w:val="1F497D"/>
        </w:rPr>
        <w:t>15.2  Future Improvements</w:t>
      </w:r>
    </w:p>
    <w:p>
      <w:pPr>
        <w:pStyle w:val="ListBullet"/>
        <w:spacing w:after="60" w:before="40"/>
      </w:pPr>
      <w:r>
        <w:t>Add FICO score and external credit bureau data — the single most impactful improvement available</w:t>
      </w:r>
    </w:p>
    <w:p>
      <w:pPr>
        <w:pStyle w:val="ListBullet"/>
        <w:spacing w:after="60" w:before="40"/>
      </w:pPr>
      <w:r>
        <w:t>Apply SMOTE to training data to improve minority class recall</w:t>
      </w:r>
    </w:p>
    <w:p>
      <w:pPr>
        <w:pStyle w:val="ListBullet"/>
        <w:spacing w:after="60" w:before="40"/>
      </w:pPr>
      <w:r>
        <w:t>Train on the full 2.26M rows rather than the filtered 1.35M</w:t>
      </w:r>
    </w:p>
    <w:p>
      <w:pPr>
        <w:pStyle w:val="ListBullet"/>
        <w:spacing w:after="60" w:before="40"/>
      </w:pPr>
      <w:r>
        <w:t>Experiment with LightGBM and CatBoost as alternatives to XGBoost</w:t>
      </w:r>
    </w:p>
    <w:p>
      <w:pPr>
        <w:pStyle w:val="ListBullet"/>
        <w:spacing w:after="60" w:before="40"/>
      </w:pPr>
      <w:r>
        <w:t>Build a two-stage model: first predict default probability, then use a second model to price the risk premium</w:t>
      </w:r>
    </w:p>
    <w:p>
      <w:pPr>
        <w:pStyle w:val="ListBullet"/>
        <w:spacing w:after="60" w:before="40"/>
      </w:pPr>
      <w:r>
        <w:t>Probability calibration (Platt scaling or isotonic regression) for well-calibrated risk scores</w:t>
      </w:r>
    </w:p>
    <w:p>
      <w:pPr>
        <w:pStyle w:val="ListBullet"/>
        <w:spacing w:after="60" w:before="40"/>
      </w:pPr>
      <w:r>
        <w:t>Tiered thresholds by loan grade or purpose for more nuanced decisioning</w:t>
      </w:r>
    </w:p>
    <w:p>
      <w:r>
        <w:br w:type="page"/>
      </w:r>
    </w:p>
    <w:p>
      <w:pPr>
        <w:pStyle w:val="Heading1"/>
        <w:spacing w:before="240" w:after="120"/>
      </w:pPr>
      <w:r>
        <w:rPr>
          <w:color w:val="0D2B55"/>
        </w:rPr>
        <w:t>16. Glossary of Key Terms</w:t>
      </w:r>
    </w:p>
    <w:p>
      <w:pPr>
        <w:spacing w:after="80" w:before="20"/>
      </w:pPr>
      <w:r>
        <w:rPr>
          <w:b/>
          <w:color w:val="1F497D"/>
        </w:rPr>
        <w:t xml:space="preserve">AUC (Area Under the Curve):  </w:t>
      </w:r>
      <w:r>
        <w:rPr>
          <w:sz w:val="19"/>
        </w:rPr>
        <w:t>A measure of how well a model separates two classes across all thresholds. Ranges from 0.5 (random) to 1.0 (perfect). Higher is better.</w:t>
      </w:r>
    </w:p>
    <w:p>
      <w:pPr>
        <w:spacing w:after="80" w:before="20"/>
      </w:pPr>
      <w:r>
        <w:rPr>
          <w:b/>
          <w:color w:val="1F497D"/>
        </w:rPr>
        <w:t xml:space="preserve">Charged Off:  </w:t>
      </w:r>
      <w:r>
        <w:rPr>
          <w:sz w:val="19"/>
        </w:rPr>
        <w:t>LendingClub's term for a loan that has been written off as uncollectable. Equivalent to default in this project.</w:t>
      </w:r>
    </w:p>
    <w:p>
      <w:pPr>
        <w:spacing w:after="80" w:before="20"/>
      </w:pPr>
      <w:r>
        <w:rPr>
          <w:b/>
          <w:color w:val="1F497D"/>
        </w:rPr>
        <w:t xml:space="preserve">Class Imbalance:  </w:t>
      </w:r>
      <w:r>
        <w:rPr>
          <w:sz w:val="19"/>
        </w:rPr>
        <w:t>When one category in the target variable is much more common than another. Here, 80% of loans were fully paid vs 20% defaulted.</w:t>
      </w:r>
    </w:p>
    <w:p>
      <w:pPr>
        <w:spacing w:after="80" w:before="20"/>
      </w:pPr>
      <w:r>
        <w:rPr>
          <w:b/>
          <w:color w:val="1F497D"/>
        </w:rPr>
        <w:t xml:space="preserve">Confusion Matrix:  </w:t>
      </w:r>
      <w:r>
        <w:rPr>
          <w:sz w:val="19"/>
        </w:rPr>
        <w:t>A 2×2 table showing the counts of true positives, true negatives, false positives, and false negatives for a classification model.</w:t>
      </w:r>
    </w:p>
    <w:p>
      <w:pPr>
        <w:spacing w:after="80" w:before="20"/>
      </w:pPr>
      <w:r>
        <w:rPr>
          <w:b/>
          <w:color w:val="1F497D"/>
        </w:rPr>
        <w:t xml:space="preserve">DTI (Debt-to-Income Ratio):  </w:t>
      </w:r>
      <w:r>
        <w:rPr>
          <w:sz w:val="19"/>
        </w:rPr>
        <w:t>Monthly debt payments divided by monthly gross income, expressed as a percentage. A DTI of 20 means 20% of income goes toward debt service.</w:t>
      </w:r>
    </w:p>
    <w:p>
      <w:pPr>
        <w:spacing w:after="80" w:before="20"/>
      </w:pPr>
      <w:r>
        <w:rPr>
          <w:b/>
          <w:color w:val="1F497D"/>
        </w:rPr>
        <w:t xml:space="preserve">F2 Score:  </w:t>
      </w:r>
      <w:r>
        <w:rPr>
          <w:sz w:val="19"/>
        </w:rPr>
        <w:t>A metric that weights recall twice as heavily as precision. Used when false negatives (missed defaults) are more costly than false positives (wrongly rejected good borrowers).</w:t>
      </w:r>
    </w:p>
    <w:p>
      <w:pPr>
        <w:spacing w:after="80" w:before="20"/>
      </w:pPr>
      <w:r>
        <w:rPr>
          <w:b/>
          <w:color w:val="1F497D"/>
        </w:rPr>
        <w:t xml:space="preserve">False Negative:  </w:t>
      </w:r>
      <w:r>
        <w:rPr>
          <w:sz w:val="19"/>
        </w:rPr>
        <w:t>A loan the model predicted was safe (approved) but actually defaulted. The most costly type of error in this context.</w:t>
      </w:r>
    </w:p>
    <w:p>
      <w:pPr>
        <w:spacing w:after="80" w:before="20"/>
      </w:pPr>
      <w:r>
        <w:rPr>
          <w:b/>
          <w:color w:val="1F497D"/>
        </w:rPr>
        <w:t xml:space="preserve">False Positive:  </w:t>
      </w:r>
      <w:r>
        <w:rPr>
          <w:sz w:val="19"/>
        </w:rPr>
        <w:t>A loan the model predicted would default (rejected) but would actually have been repaid. Represents lost revenue.</w:t>
      </w:r>
    </w:p>
    <w:p>
      <w:pPr>
        <w:spacing w:after="80" w:before="20"/>
      </w:pPr>
      <w:r>
        <w:rPr>
          <w:b/>
          <w:color w:val="1F497D"/>
        </w:rPr>
        <w:t xml:space="preserve">Feature Engineering:  </w:t>
      </w:r>
      <w:r>
        <w:rPr>
          <w:sz w:val="19"/>
        </w:rPr>
        <w:t>Transforming raw columns into more useful representations — e.g., converting a date string into a numeric "years of credit history" value.</w:t>
      </w:r>
    </w:p>
    <w:p>
      <w:pPr>
        <w:spacing w:after="80" w:before="20"/>
      </w:pPr>
      <w:r>
        <w:rPr>
          <w:b/>
          <w:color w:val="1F497D"/>
        </w:rPr>
        <w:t xml:space="preserve">Feature Importance:  </w:t>
      </w:r>
      <w:r>
        <w:rPr>
          <w:sz w:val="19"/>
        </w:rPr>
        <w:t>A measure of how much each feature contributed to a tree-based model's predictions. Features used in more splits and that reduce error more get higher importance.</w:t>
      </w:r>
    </w:p>
    <w:p>
      <w:pPr>
        <w:spacing w:after="80" w:before="20"/>
      </w:pPr>
      <w:r>
        <w:rPr>
          <w:b/>
          <w:color w:val="1F497D"/>
        </w:rPr>
        <w:t xml:space="preserve">One-Hot Encoding:  </w:t>
      </w:r>
      <w:r>
        <w:rPr>
          <w:sz w:val="19"/>
        </w:rPr>
        <w:t>Converting a categorical variable (e.g., "purpose") into multiple binary columns (purpose_car, purpose_medical, etc.) — one column per category.</w:t>
      </w:r>
    </w:p>
    <w:p>
      <w:pPr>
        <w:spacing w:after="80" w:before="20"/>
      </w:pPr>
      <w:r>
        <w:rPr>
          <w:b/>
          <w:color w:val="1F497D"/>
        </w:rPr>
        <w:t xml:space="preserve">Oversampling / SMOTE:  </w:t>
      </w:r>
      <w:r>
        <w:rPr>
          <w:sz w:val="19"/>
        </w:rPr>
        <w:t>A technique to address class imbalance by synthetically generating new minority-class examples so the model sees more defaults during training.</w:t>
      </w:r>
    </w:p>
    <w:p>
      <w:pPr>
        <w:spacing w:after="80" w:before="20"/>
      </w:pPr>
      <w:r>
        <w:rPr>
          <w:b/>
          <w:color w:val="1F497D"/>
        </w:rPr>
        <w:t xml:space="preserve">Precision:  </w:t>
      </w:r>
      <w:r>
        <w:rPr>
          <w:sz w:val="19"/>
        </w:rPr>
        <w:t>Of all loans the model predicted would default, what fraction actually defaulted. High precision = few false alarms.</w:t>
      </w:r>
    </w:p>
    <w:p>
      <w:pPr>
        <w:spacing w:after="80" w:before="20"/>
      </w:pPr>
      <w:r>
        <w:rPr>
          <w:b/>
          <w:color w:val="1F497D"/>
        </w:rPr>
        <w:t xml:space="preserve">Recall (Sensitivity):  </w:t>
      </w:r>
      <w:r>
        <w:rPr>
          <w:sz w:val="19"/>
        </w:rPr>
        <w:t>Of all actual defaults, what fraction did the model catch. High recall = few missed defaults.</w:t>
      </w:r>
    </w:p>
    <w:p>
      <w:pPr>
        <w:spacing w:after="80" w:before="20"/>
      </w:pPr>
      <w:r>
        <w:rPr>
          <w:b/>
          <w:color w:val="1F497D"/>
        </w:rPr>
        <w:t xml:space="preserve">ROC Curve:  </w:t>
      </w:r>
      <w:r>
        <w:rPr>
          <w:sz w:val="19"/>
        </w:rPr>
        <w:t>Receiver Operating Characteristic curve — plots the True Positive Rate vs False Positive Rate across all possible thresholds. AUC summarises its area.</w:t>
      </w:r>
    </w:p>
    <w:p>
      <w:pPr>
        <w:spacing w:after="80" w:before="20"/>
      </w:pPr>
      <w:r>
        <w:rPr>
          <w:b/>
          <w:color w:val="1F497D"/>
        </w:rPr>
        <w:t xml:space="preserve">Scale_pos_weight:  </w:t>
      </w:r>
      <w:r>
        <w:rPr>
          <w:sz w:val="19"/>
        </w:rPr>
        <w:t>An XGBoost parameter that tells the model to penalise missed defaults more heavily. Set to (number of negatives) / (number of positives) = ~4.0 in this project.</w:t>
      </w:r>
    </w:p>
    <w:p>
      <w:pPr>
        <w:spacing w:after="80" w:before="20"/>
      </w:pPr>
      <w:r>
        <w:rPr>
          <w:b/>
          <w:color w:val="1F497D"/>
        </w:rPr>
        <w:t xml:space="preserve">StandardScaler:  </w:t>
      </w:r>
      <w:r>
        <w:rPr>
          <w:sz w:val="19"/>
        </w:rPr>
        <w:t>Transforms each feature to have mean=0 and standard deviation=1. Prevents features with large numeric ranges from dominating the model.</w:t>
      </w:r>
    </w:p>
    <w:p>
      <w:pPr>
        <w:spacing w:after="80" w:before="20"/>
      </w:pPr>
      <w:r>
        <w:rPr>
          <w:b/>
          <w:color w:val="1F497D"/>
        </w:rPr>
        <w:t xml:space="preserve">Stratified Split:  </w:t>
      </w:r>
      <w:r>
        <w:rPr>
          <w:sz w:val="19"/>
        </w:rPr>
        <w:t>A train/test split that preserves the class ratio in both sets. Ensures neither set is accidentally loaded with more defaults than the other.</w:t>
      </w:r>
    </w:p>
    <w:p>
      <w:pPr>
        <w:spacing w:after="80" w:before="20"/>
      </w:pPr>
      <w:r>
        <w:rPr>
          <w:b/>
          <w:color w:val="1F497D"/>
        </w:rPr>
        <w:t xml:space="preserve">Threshold:  </w:t>
      </w:r>
      <w:r>
        <w:rPr>
          <w:sz w:val="19"/>
        </w:rPr>
        <w:t>The cut-off probability above which a loan is classified as high-risk and rejected. Lower threshold = more rejections; higher threshold = fewer rejections.</w:t>
      </w:r>
    </w:p>
    <w:p>
      <w:pPr>
        <w:spacing w:after="80" w:before="20"/>
      </w:pPr>
      <w:r>
        <w:rPr>
          <w:b/>
          <w:color w:val="1F497D"/>
        </w:rPr>
        <w:t xml:space="preserve">VIF (Variance Inflation Factor):  </w:t>
      </w:r>
      <w:r>
        <w:rPr>
          <w:sz w:val="19"/>
        </w:rPr>
        <w:t>Measures how much a feature's variance is explained by other features. VIF &gt; 10 indicates severe multicollinearity.</w:t>
      </w:r>
    </w:p>
    <w:p>
      <w:pPr>
        <w:spacing w:after="80" w:before="20"/>
      </w:pPr>
      <w:r>
        <w:rPr>
          <w:b/>
          <w:color w:val="1F497D"/>
        </w:rPr>
        <w:t xml:space="preserve">XGBoost:  </w:t>
      </w:r>
      <w:r>
        <w:rPr>
          <w:sz w:val="19"/>
        </w:rPr>
        <w:t>Extreme Gradient Boosting — a state-of-the-art machine learning algorithm that builds trees sequentially, each one correcting the errors of the previous. The most widely used model for structured tabular data in industry.</w:t>
      </w:r>
    </w:p>
    <w:p>
      <w:r>
        <w:br w:type="page"/>
      </w:r>
    </w:p>
    <w:p>
      <w:pPr>
        <w:pStyle w:val="Heading1"/>
        <w:spacing w:before="240" w:after="120"/>
      </w:pPr>
      <w:r>
        <w:rPr>
          <w:color w:val="0D2B55"/>
        </w:rPr>
        <w:t>17. Project Notebook Structure</w:t>
      </w:r>
    </w:p>
    <w:p>
      <w:pPr>
        <w:spacing w:after="120" w:before="40"/>
      </w:pPr>
      <w:r>
        <w:rPr>
          <w:b w:val="0"/>
          <w:i w:val="0"/>
        </w:rPr>
        <w:t>The full analysis is organised into nine Jupyter notebooks, each covering one phase of the project. They are designed to be run in order, with each notebook saving its output as a Parquet file for the next notebook to load.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97D"/>
            <w:vAlign w:val="center"/>
          </w:tcPr>
          <w:p>
            <w:pPr>
              <w:jc w:val="center"/>
            </w:pPr>
            <w:r>
              <w:rPr>
                <w:b/>
                <w:color w:val="FFFFFF"/>
                <w:sz w:val="18"/>
              </w:rPr>
              <w:t>Notebook</w:t>
            </w:r>
          </w:p>
        </w:tc>
        <w:tc>
          <w:tcPr>
            <w:tcW w:type="dxa" w:w="2592"/>
            <w:shd w:val="clear" w:color="auto" w:fill="1F497D"/>
            <w:vAlign w:val="center"/>
          </w:tcPr>
          <w:p>
            <w:pPr>
              <w:jc w:val="center"/>
            </w:pPr>
            <w:r>
              <w:rPr>
                <w:b/>
                <w:color w:val="FFFFFF"/>
                <w:sz w:val="18"/>
              </w:rPr>
              <w:t>Phase</w:t>
            </w:r>
          </w:p>
        </w:tc>
        <w:tc>
          <w:tcPr>
            <w:tcW w:type="dxa" w:w="4752"/>
            <w:shd w:val="clear" w:color="auto" w:fill="1F497D"/>
            <w:vAlign w:val="center"/>
          </w:tcPr>
          <w:p>
            <w:pPr>
              <w:jc w:val="center"/>
            </w:pPr>
            <w:r>
              <w:rPr>
                <w:b/>
                <w:color w:val="FFFFFF"/>
                <w:sz w:val="18"/>
              </w:rPr>
              <w:t>Key Outputs</w:t>
            </w:r>
          </w:p>
        </w:tc>
      </w:tr>
      <w:tr>
        <w:tc>
          <w:tcPr>
            <w:tcW w:type="dxa" w:w="2880"/>
          </w:tcPr>
          <w:p/>
        </w:tc>
        <w:tc>
          <w:tcPr>
            <w:tcW w:type="dxa" w:w="2592"/>
          </w:tcPr>
          <w:p/>
        </w:tc>
        <w:tc>
          <w:tcPr>
            <w:tcW w:type="dxa" w:w="4752"/>
          </w:tcPr>
          <w:p/>
        </w:tc>
      </w:tr>
      <w:tr>
        <w:tc>
          <w:tcPr>
            <w:tcW w:type="dxa" w:w="2880"/>
          </w:tcPr>
          <w:p/>
        </w:tc>
        <w:tc>
          <w:tcPr>
            <w:tcW w:type="dxa" w:w="2592"/>
          </w:tcPr>
          <w:p/>
        </w:tc>
        <w:tc>
          <w:tcPr>
            <w:tcW w:type="dxa" w:w="4752"/>
          </w:tcPr>
          <w:p/>
        </w:tc>
      </w:tr>
      <w:tr>
        <w:tc>
          <w:tcPr>
            <w:tcW w:type="dxa" w:w="2880"/>
          </w:tcPr>
          <w:p/>
        </w:tc>
        <w:tc>
          <w:tcPr>
            <w:tcW w:type="dxa" w:w="2592"/>
          </w:tcPr>
          <w:p/>
        </w:tc>
        <w:tc>
          <w:tcPr>
            <w:tcW w:type="dxa" w:w="4752"/>
          </w:tcPr>
          <w:p/>
        </w:tc>
      </w:tr>
      <w:tr>
        <w:tc>
          <w:tcPr>
            <w:tcW w:type="dxa" w:w="2880"/>
          </w:tcPr>
          <w:p/>
        </w:tc>
        <w:tc>
          <w:tcPr>
            <w:tcW w:type="dxa" w:w="2592"/>
          </w:tcPr>
          <w:p/>
        </w:tc>
        <w:tc>
          <w:tcPr>
            <w:tcW w:type="dxa" w:w="4752"/>
          </w:tcPr>
          <w:p/>
        </w:tc>
      </w:tr>
      <w:tr>
        <w:tc>
          <w:tcPr>
            <w:tcW w:type="dxa" w:w="2880"/>
          </w:tcPr>
          <w:p/>
        </w:tc>
        <w:tc>
          <w:tcPr>
            <w:tcW w:type="dxa" w:w="2592"/>
          </w:tcPr>
          <w:p/>
        </w:tc>
        <w:tc>
          <w:tcPr>
            <w:tcW w:type="dxa" w:w="4752"/>
          </w:tcPr>
          <w:p/>
        </w:tc>
      </w:tr>
      <w:tr>
        <w:tc>
          <w:tcPr>
            <w:tcW w:type="dxa" w:w="2880"/>
          </w:tcPr>
          <w:p/>
        </w:tc>
        <w:tc>
          <w:tcPr>
            <w:tcW w:type="dxa" w:w="2592"/>
          </w:tcPr>
          <w:p/>
        </w:tc>
        <w:tc>
          <w:tcPr>
            <w:tcW w:type="dxa" w:w="4752"/>
          </w:tcPr>
          <w:p/>
        </w:tc>
      </w:tr>
      <w:tr>
        <w:tc>
          <w:tcPr>
            <w:tcW w:type="dxa" w:w="2880"/>
          </w:tcPr>
          <w:p/>
        </w:tc>
        <w:tc>
          <w:tcPr>
            <w:tcW w:type="dxa" w:w="2592"/>
          </w:tcPr>
          <w:p/>
        </w:tc>
        <w:tc>
          <w:tcPr>
            <w:tcW w:type="dxa" w:w="4752"/>
          </w:tcPr>
          <w:p/>
        </w:tc>
      </w:tr>
      <w:tr>
        <w:tc>
          <w:tcPr>
            <w:tcW w:type="dxa" w:w="2880"/>
          </w:tcPr>
          <w:p/>
        </w:tc>
        <w:tc>
          <w:tcPr>
            <w:tcW w:type="dxa" w:w="2592"/>
          </w:tcPr>
          <w:p/>
        </w:tc>
        <w:tc>
          <w:tcPr>
            <w:tcW w:type="dxa" w:w="4752"/>
          </w:tcPr>
          <w:p/>
        </w:tc>
      </w:tr>
      <w:tr>
        <w:tc>
          <w:tcPr>
            <w:tcW w:type="dxa" w:w="2880"/>
          </w:tcPr>
          <w:p/>
        </w:tc>
        <w:tc>
          <w:tcPr>
            <w:tcW w:type="dxa" w:w="2592"/>
          </w:tcPr>
          <w:p/>
        </w:tc>
        <w:tc>
          <w:tcPr>
            <w:tcW w:type="dxa" w:w="4752"/>
          </w:tcPr>
          <w:p/>
        </w:tc>
      </w:tr>
      <w:tr>
        <w:tc>
          <w:tcPr>
            <w:tcW w:type="dxa" w:w="2880"/>
            <w:vAlign w:val="center"/>
          </w:tcPr>
          <w:p>
            <w:pPr>
              <w:jc w:val="center"/>
            </w:pPr>
            <w:r>
              <w:rPr>
                <w:sz w:val="18"/>
              </w:rPr>
              <w:t>01_data_loading.ipynb</w:t>
            </w:r>
          </w:p>
        </w:tc>
        <w:tc>
          <w:tcPr>
            <w:tcW w:type="dxa" w:w="2592"/>
            <w:vAlign w:val="center"/>
          </w:tcPr>
          <w:p>
            <w:pPr>
              <w:jc w:val="center"/>
            </w:pPr>
            <w:r>
              <w:rPr>
                <w:sz w:val="18"/>
              </w:rPr>
              <w:t>Data Loading &amp; Target Mapping</w:t>
            </w:r>
          </w:p>
        </w:tc>
        <w:tc>
          <w:tcPr>
            <w:tcW w:type="dxa" w:w="4752"/>
            <w:vAlign w:val="center"/>
          </w:tcPr>
          <w:p>
            <w:pPr>
              <w:jc w:val="center"/>
            </w:pPr>
            <w:r>
              <w:rPr>
                <w:sz w:val="18"/>
              </w:rPr>
              <w:t>loans_filtered.parquet — 1.35M filtered loans with binary target</w:t>
            </w:r>
          </w:p>
        </w:tc>
      </w:tr>
      <w:tr>
        <w:tc>
          <w:tcPr>
            <w:tcW w:type="dxa" w:w="2880"/>
            <w:shd w:val="clear" w:color="auto" w:fill="EBF2FA"/>
            <w:vAlign w:val="center"/>
          </w:tcPr>
          <w:p>
            <w:pPr>
              <w:jc w:val="center"/>
            </w:pPr>
            <w:r>
              <w:rPr>
                <w:sz w:val="18"/>
              </w:rPr>
              <w:t>02_eda.ipynb</w:t>
            </w:r>
          </w:p>
        </w:tc>
        <w:tc>
          <w:tcPr>
            <w:tcW w:type="dxa" w:w="2592"/>
            <w:shd w:val="clear" w:color="auto" w:fill="EBF2FA"/>
            <w:vAlign w:val="center"/>
          </w:tcPr>
          <w:p>
            <w:pPr>
              <w:jc w:val="center"/>
            </w:pPr>
            <w:r>
              <w:rPr>
                <w:sz w:val="18"/>
              </w:rPr>
              <w:t>Exploratory Data Analysis</w:t>
            </w:r>
          </w:p>
        </w:tc>
        <w:tc>
          <w:tcPr>
            <w:tcW w:type="dxa" w:w="4752"/>
            <w:shd w:val="clear" w:color="auto" w:fill="EBF2FA"/>
            <w:vAlign w:val="center"/>
          </w:tcPr>
          <w:p>
            <w:pPr>
              <w:jc w:val="center"/>
            </w:pPr>
            <w:r>
              <w:rPr>
                <w:sz w:val="18"/>
              </w:rPr>
              <w:t>Hypothesis charts (h1_dti.png, h3_purpose.png, etc.) + summary table</w:t>
            </w:r>
          </w:p>
        </w:tc>
      </w:tr>
      <w:tr>
        <w:tc>
          <w:tcPr>
            <w:tcW w:type="dxa" w:w="2880"/>
            <w:vAlign w:val="center"/>
          </w:tcPr>
          <w:p>
            <w:pPr>
              <w:jc w:val="center"/>
            </w:pPr>
            <w:r>
              <w:rPr>
                <w:sz w:val="18"/>
              </w:rPr>
              <w:t>03_preprocessing.ipynb</w:t>
            </w:r>
          </w:p>
        </w:tc>
        <w:tc>
          <w:tcPr>
            <w:tcW w:type="dxa" w:w="2592"/>
            <w:vAlign w:val="center"/>
          </w:tcPr>
          <w:p>
            <w:pPr>
              <w:jc w:val="center"/>
            </w:pPr>
            <w:r>
              <w:rPr>
                <w:sz w:val="18"/>
              </w:rPr>
              <w:t>Feature Engineering, Cleaning &amp; Splitting</w:t>
            </w:r>
          </w:p>
        </w:tc>
        <w:tc>
          <w:tcPr>
            <w:tcW w:type="dxa" w:w="4752"/>
            <w:vAlign w:val="center"/>
          </w:tcPr>
          <w:p>
            <w:pPr>
              <w:jc w:val="center"/>
            </w:pPr>
            <w:r>
              <w:rPr>
                <w:sz w:val="18"/>
              </w:rPr>
              <w:t>X_train.parquet, X_test.parquet, y_train.parquet, y_test.parquet, scaler.pkl</w:t>
            </w:r>
          </w:p>
        </w:tc>
      </w:tr>
      <w:tr>
        <w:tc>
          <w:tcPr>
            <w:tcW w:type="dxa" w:w="2880"/>
            <w:shd w:val="clear" w:color="auto" w:fill="EBF2FA"/>
            <w:vAlign w:val="center"/>
          </w:tcPr>
          <w:p>
            <w:pPr>
              <w:jc w:val="center"/>
            </w:pPr>
            <w:r>
              <w:rPr>
                <w:sz w:val="18"/>
              </w:rPr>
              <w:t>03b_feature_significance.ipynb</w:t>
            </w:r>
          </w:p>
        </w:tc>
        <w:tc>
          <w:tcPr>
            <w:tcW w:type="dxa" w:w="2592"/>
            <w:shd w:val="clear" w:color="auto" w:fill="EBF2FA"/>
            <w:vAlign w:val="center"/>
          </w:tcPr>
          <w:p>
            <w:pPr>
              <w:jc w:val="center"/>
            </w:pPr>
            <w:r>
              <w:rPr>
                <w:sz w:val="18"/>
              </w:rPr>
              <w:t>Statistical Feature Validation</w:t>
            </w:r>
          </w:p>
        </w:tc>
        <w:tc>
          <w:tcPr>
            <w:tcW w:type="dxa" w:w="4752"/>
            <w:shd w:val="clear" w:color="auto" w:fill="EBF2FA"/>
            <w:vAlign w:val="center"/>
          </w:tcPr>
          <w:p>
            <w:pPr>
              <w:jc w:val="center"/>
            </w:pPr>
            <w:r>
              <w:rPr>
                <w:sz w:val="18"/>
              </w:rPr>
              <w:t>Correlation matrix, VIF table, feature ranking — informs feature dropping decisions</w:t>
            </w:r>
          </w:p>
        </w:tc>
      </w:tr>
      <w:tr>
        <w:tc>
          <w:tcPr>
            <w:tcW w:type="dxa" w:w="2880"/>
            <w:vAlign w:val="center"/>
          </w:tcPr>
          <w:p>
            <w:pPr>
              <w:jc w:val="center"/>
            </w:pPr>
            <w:r>
              <w:rPr>
                <w:sz w:val="18"/>
              </w:rPr>
              <w:t>04_modeling.ipynb</w:t>
            </w:r>
          </w:p>
        </w:tc>
        <w:tc>
          <w:tcPr>
            <w:tcW w:type="dxa" w:w="2592"/>
            <w:vAlign w:val="center"/>
          </w:tcPr>
          <w:p>
            <w:pPr>
              <w:jc w:val="center"/>
            </w:pPr>
            <w:r>
              <w:rPr>
                <w:sz w:val="18"/>
              </w:rPr>
              <w:t>Model Training &amp; Threshold Optimisation</w:t>
            </w:r>
          </w:p>
        </w:tc>
        <w:tc>
          <w:tcPr>
            <w:tcW w:type="dxa" w:w="4752"/>
            <w:vAlign w:val="center"/>
          </w:tcPr>
          <w:p>
            <w:pPr>
              <w:jc w:val="center"/>
            </w:pPr>
            <w:r>
              <w:rPr>
                <w:sz w:val="18"/>
              </w:rPr>
              <w:t>xgb_model.pkl, threshold.txt (0.35) — F2-optimal XGBoost model</w:t>
            </w:r>
          </w:p>
        </w:tc>
      </w:tr>
      <w:tr>
        <w:tc>
          <w:tcPr>
            <w:tcW w:type="dxa" w:w="2880"/>
            <w:shd w:val="clear" w:color="auto" w:fill="EBF2FA"/>
            <w:vAlign w:val="center"/>
          </w:tcPr>
          <w:p>
            <w:pPr>
              <w:jc w:val="center"/>
            </w:pPr>
            <w:r>
              <w:rPr>
                <w:sz w:val="18"/>
              </w:rPr>
              <w:t>05_evaluation.ipynb</w:t>
            </w:r>
          </w:p>
        </w:tc>
        <w:tc>
          <w:tcPr>
            <w:tcW w:type="dxa" w:w="2592"/>
            <w:shd w:val="clear" w:color="auto" w:fill="EBF2FA"/>
            <w:vAlign w:val="center"/>
          </w:tcPr>
          <w:p>
            <w:pPr>
              <w:jc w:val="center"/>
            </w:pPr>
            <w:r>
              <w:rPr>
                <w:sz w:val="18"/>
              </w:rPr>
              <w:t>Final Evaluation &amp; Business Impact</w:t>
            </w:r>
          </w:p>
        </w:tc>
        <w:tc>
          <w:tcPr>
            <w:tcW w:type="dxa" w:w="4752"/>
            <w:shd w:val="clear" w:color="auto" w:fill="EBF2FA"/>
            <w:vAlign w:val="center"/>
          </w:tcPr>
          <w:p>
            <w:pPr>
              <w:jc w:val="center"/>
            </w:pPr>
            <w:r>
              <w:rPr>
                <w:sz w:val="18"/>
              </w:rPr>
              <w:t>All evaluation charts + printed business impact summary</w:t>
            </w:r>
          </w:p>
        </w:tc>
      </w:tr>
      <w:tr>
        <w:tc>
          <w:tcPr>
            <w:tcW w:type="dxa" w:w="2880"/>
            <w:vAlign w:val="center"/>
          </w:tcPr>
          <w:p>
            <w:pPr>
              <w:jc w:val="center"/>
            </w:pPr>
            <w:r>
              <w:rPr>
                <w:sz w:val="18"/>
              </w:rPr>
              <w:t>06_rejected_analysis.ipynb</w:t>
            </w:r>
          </w:p>
        </w:tc>
        <w:tc>
          <w:tcPr>
            <w:tcW w:type="dxa" w:w="2592"/>
            <w:vAlign w:val="center"/>
          </w:tcPr>
          <w:p>
            <w:pPr>
              <w:jc w:val="center"/>
            </w:pPr>
            <w:r>
              <w:rPr>
                <w:sz w:val="18"/>
              </w:rPr>
              <w:t>Rejected Applications Analysis</w:t>
            </w:r>
          </w:p>
        </w:tc>
        <w:tc>
          <w:tcPr>
            <w:tcW w:type="dxa" w:w="4752"/>
            <w:vAlign w:val="center"/>
          </w:tcPr>
          <w:p>
            <w:pPr>
              <w:jc w:val="center"/>
            </w:pPr>
            <w:r>
              <w:rPr>
                <w:sz w:val="18"/>
              </w:rPr>
              <w:t>Scale context, DTI/Risk Score/Employment comparisons, time trends, geographic analysis</w:t>
            </w:r>
          </w:p>
        </w:tc>
      </w:tr>
      <w:tr>
        <w:tc>
          <w:tcPr>
            <w:tcW w:type="dxa" w:w="2880"/>
            <w:shd w:val="clear" w:color="auto" w:fill="EBF2FA"/>
            <w:vAlign w:val="center"/>
          </w:tcPr>
          <w:p>
            <w:pPr>
              <w:jc w:val="center"/>
            </w:pPr>
            <w:r>
              <w:rPr>
                <w:sz w:val="18"/>
              </w:rPr>
              <w:t>07_shap_explainability.ipynb</w:t>
            </w:r>
          </w:p>
        </w:tc>
        <w:tc>
          <w:tcPr>
            <w:tcW w:type="dxa" w:w="2592"/>
            <w:shd w:val="clear" w:color="auto" w:fill="EBF2FA"/>
            <w:vAlign w:val="center"/>
          </w:tcPr>
          <w:p>
            <w:pPr>
              <w:jc w:val="center"/>
            </w:pPr>
            <w:r>
              <w:rPr>
                <w:sz w:val="18"/>
              </w:rPr>
              <w:t>SHAP Model Explainability</w:t>
            </w:r>
          </w:p>
        </w:tc>
        <w:tc>
          <w:tcPr>
            <w:tcW w:type="dxa" w:w="4752"/>
            <w:shd w:val="clear" w:color="auto" w:fill="EBF2FA"/>
            <w:vAlign w:val="center"/>
          </w:tcPr>
          <w:p>
            <w:pPr>
              <w:jc w:val="center"/>
            </w:pPr>
            <w:r>
              <w:rPr>
                <w:sz w:val="18"/>
              </w:rPr>
              <w:t>Beeswarm plot, bar chart, waterfall plots, dependence plots — individual-level explanations</w:t>
            </w:r>
          </w:p>
        </w:tc>
      </w:tr>
      <w:tr>
        <w:tc>
          <w:tcPr>
            <w:tcW w:type="dxa" w:w="2880"/>
            <w:vAlign w:val="center"/>
          </w:tcPr>
          <w:p>
            <w:pPr>
              <w:jc w:val="center"/>
            </w:pPr>
            <w:r>
              <w:rPr>
                <w:sz w:val="18"/>
              </w:rPr>
              <w:t>08_sql_analysis.ipynb</w:t>
            </w:r>
          </w:p>
        </w:tc>
        <w:tc>
          <w:tcPr>
            <w:tcW w:type="dxa" w:w="2592"/>
            <w:vAlign w:val="center"/>
          </w:tcPr>
          <w:p>
            <w:pPr>
              <w:jc w:val="center"/>
            </w:pPr>
            <w:r>
              <w:rPr>
                <w:sz w:val="18"/>
              </w:rPr>
              <w:t>SQL Business Analysis</w:t>
            </w:r>
          </w:p>
        </w:tc>
        <w:tc>
          <w:tcPr>
            <w:tcW w:type="dxa" w:w="4752"/>
            <w:vAlign w:val="center"/>
          </w:tcPr>
          <w:p>
            <w:pPr>
              <w:jc w:val="center"/>
            </w:pPr>
            <w:r>
              <w:rPr>
                <w:sz w:val="18"/>
              </w:rPr>
              <w:t>9 SQL questions on SQLite: GROUP BY, HAVING, CASE, CTEs, Window Functions, 8 charts</w:t>
            </w:r>
          </w:p>
        </w:tc>
      </w:tr>
    </w:tbl>
    <w:p>
      <w:pPr>
        <w:spacing w:after="120"/>
      </w:pPr>
    </w:p>
    <w:p>
      <w:r>
        <w:br w:type="page"/>
      </w:r>
    </w:p>
    <w:p>
      <w:pPr>
        <w:pStyle w:val="Heading1"/>
        <w:spacing w:before="240" w:after="120"/>
      </w:pPr>
      <w:r>
        <w:rPr>
          <w:color w:val="0D2B55"/>
        </w:rPr>
        <w:t>18. SHAP Explainability — Why Did the Model Decide That?</w:t>
      </w:r>
    </w:p>
    <w:p>
      <w:pPr>
        <w:spacing w:after="120" w:before="40"/>
      </w:pPr>
      <w:r>
        <w:rPr>
          <w:b w:val="0"/>
          <w:i w:val="0"/>
        </w:rPr>
        <w:t>Machine learning models are often criticised as "black boxes" — they produce a prediction but do not explain it. SHAP (SHapley Additive exPlanations) solves this problem by assigning each feature a contribution score for every individual prediction. Notebook 07 applies TreeExplainer on a 5,000-row sample of the XGBoost model.</w:t>
      </w:r>
    </w:p>
    <w:tbl>
      <w:tblPr>
        <w:tblStyle w:val="TableGrid"/>
        <w:tblW w:type="auto" w:w="0"/>
        <w:tblLook w:firstColumn="1" w:firstRow="1" w:lastColumn="0" w:lastRow="0" w:noHBand="0" w:noVBand="1" w:val="04A0"/>
      </w:tblPr>
      <w:tblGrid>
        <w:gridCol w:w="8640"/>
      </w:tblGrid>
      <w:tr>
        <w:tc>
          <w:tcPr>
            <w:tcW w:type="dxa" w:w="8640"/>
            <w:shd w:val="clear" w:color="auto" w:fill="1A5276"/>
          </w:tcPr>
          <w:p>
            <w:pPr>
              <w:spacing w:before="80" w:after="80"/>
            </w:pPr>
            <w:r>
              <w:rPr>
                <w:b/>
                <w:color w:val="FFFFFF"/>
                <w:sz w:val="18"/>
              </w:rPr>
              <w:t xml:space="preserve">WHAT IS SHAP:  </w:t>
            </w:r>
            <w:r>
              <w:rPr>
                <w:color w:val="FFFFFF"/>
                <w:sz w:val="18"/>
              </w:rPr>
              <w:t>SHAP values answer: "How much did each feature push this loan's risk score above or below the average?" A positive SHAP value means the feature increased the predicted default probability; a negative value means it lowered it.</w:t>
            </w:r>
          </w:p>
        </w:tc>
      </w:tr>
    </w:tbl>
    <w:p>
      <w:pPr>
        <w:spacing w:after="80"/>
      </w:pPr>
    </w:p>
    <w:p>
      <w:pPr>
        <w:pStyle w:val="Heading2"/>
        <w:spacing w:before="240" w:after="120"/>
      </w:pPr>
      <w:r>
        <w:rPr>
          <w:color w:val="1F497D"/>
        </w:rPr>
        <w:t>18.1  Global Feature Importance — What Matters Most?</w:t>
      </w:r>
    </w:p>
    <w:p>
      <w:pPr>
        <w:spacing w:after="120" w:before="40"/>
      </w:pPr>
      <w:r>
        <w:rPr>
          <w:b w:val="0"/>
          <w:i w:val="0"/>
        </w:rPr>
        <w:t>The beeswarm summary plot shows every SHAP value for every sample and feature. Features are ranked by mean absolute SHAP value — how much they move the prediction on average. The colour of each dot shows whether the feature value was high (red) or low (blue) for that loan.</w:t>
      </w:r>
    </w:p>
    <w:p>
      <w:pPr>
        <w:jc w:val="center"/>
      </w:pPr>
      <w:r>
        <w:drawing>
          <wp:inline xmlns:a="http://schemas.openxmlformats.org/drawingml/2006/main" xmlns:pic="http://schemas.openxmlformats.org/drawingml/2006/picture">
            <wp:extent cx="5669280" cy="4550785"/>
            <wp:docPr id="14" name="Picture 14"/>
            <wp:cNvGraphicFramePr>
              <a:graphicFrameLocks noChangeAspect="1"/>
            </wp:cNvGraphicFramePr>
            <a:graphic>
              <a:graphicData uri="http://schemas.openxmlformats.org/drawingml/2006/picture">
                <pic:pic>
                  <pic:nvPicPr>
                    <pic:cNvPr id="0" name="shap_summary.png"/>
                    <pic:cNvPicPr/>
                  </pic:nvPicPr>
                  <pic:blipFill>
                    <a:blip r:embed="rId22"/>
                    <a:stretch>
                      <a:fillRect/>
                    </a:stretch>
                  </pic:blipFill>
                  <pic:spPr>
                    <a:xfrm>
                      <a:off x="0" y="0"/>
                      <a:ext cx="5669280" cy="4550785"/>
                    </a:xfrm>
                    <a:prstGeom prst="rect"/>
                  </pic:spPr>
                </pic:pic>
              </a:graphicData>
            </a:graphic>
          </wp:inline>
        </w:drawing>
      </w:r>
    </w:p>
    <w:p>
      <w:pPr>
        <w:spacing w:after="200"/>
        <w:jc w:val="center"/>
      </w:pPr>
      <w:r>
        <w:rPr>
          <w:i/>
          <w:color w:val="555555"/>
          <w:sz w:val="18"/>
        </w:rPr>
        <w:t>Figure: SHAP beeswarm plot. Each dot is one loan. Red = high feature value, Blue = low feature value. Width shows density of loans at that SHAP value.</w:t>
      </w:r>
    </w:p>
    <w:p>
      <w:pPr>
        <w:spacing w:after="120" w:before="40"/>
      </w:pPr>
      <w:r>
        <w:rPr>
          <w:b w:val="0"/>
          <w:i w:val="0"/>
        </w:rPr>
        <w:t>The bar chart below shows the mean absolute SHAP value per feature — a clean ranking of global importance:</w:t>
      </w:r>
    </w:p>
    <w:p>
      <w:pPr>
        <w:jc w:val="center"/>
      </w:pPr>
      <w:r>
        <w:drawing>
          <wp:inline xmlns:a="http://schemas.openxmlformats.org/drawingml/2006/main" xmlns:pic="http://schemas.openxmlformats.org/drawingml/2006/picture">
            <wp:extent cx="5303520" cy="3685724"/>
            <wp:docPr id="15" name="Picture 15"/>
            <wp:cNvGraphicFramePr>
              <a:graphicFrameLocks noChangeAspect="1"/>
            </wp:cNvGraphicFramePr>
            <a:graphic>
              <a:graphicData uri="http://schemas.openxmlformats.org/drawingml/2006/picture">
                <pic:pic>
                  <pic:nvPicPr>
                    <pic:cNvPr id="0" name="shap_bar.png"/>
                    <pic:cNvPicPr/>
                  </pic:nvPicPr>
                  <pic:blipFill>
                    <a:blip r:embed="rId23"/>
                    <a:stretch>
                      <a:fillRect/>
                    </a:stretch>
                  </pic:blipFill>
                  <pic:spPr>
                    <a:xfrm>
                      <a:off x="0" y="0"/>
                      <a:ext cx="5303520" cy="3685724"/>
                    </a:xfrm>
                    <a:prstGeom prst="rect"/>
                  </pic:spPr>
                </pic:pic>
              </a:graphicData>
            </a:graphic>
          </wp:inline>
        </w:drawing>
      </w:r>
    </w:p>
    <w:p>
      <w:pPr>
        <w:spacing w:after="200"/>
        <w:jc w:val="center"/>
      </w:pPr>
      <w:r>
        <w:rPr>
          <w:i/>
          <w:color w:val="555555"/>
          <w:sz w:val="18"/>
        </w:rPr>
        <w:t>Figure: Mean absolute SHAP values (top 10 features). Higher = more influential.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color="auto" w:fill="1F497D"/>
            <w:vAlign w:val="center"/>
          </w:tcPr>
          <w:p>
            <w:pPr>
              <w:jc w:val="center"/>
            </w:pPr>
            <w:r>
              <w:rPr>
                <w:b/>
                <w:color w:val="FFFFFF"/>
                <w:sz w:val="18"/>
              </w:rPr>
              <w:t>Rank</w:t>
            </w:r>
          </w:p>
        </w:tc>
        <w:tc>
          <w:tcPr>
            <w:tcW w:type="dxa" w:w="2160"/>
            <w:shd w:val="clear" w:color="auto" w:fill="1F497D"/>
            <w:vAlign w:val="center"/>
          </w:tcPr>
          <w:p>
            <w:pPr>
              <w:jc w:val="center"/>
            </w:pPr>
            <w:r>
              <w:rPr>
                <w:b/>
                <w:color w:val="FFFFFF"/>
                <w:sz w:val="18"/>
              </w:rPr>
              <w:t>Feature</w:t>
            </w:r>
          </w:p>
        </w:tc>
        <w:tc>
          <w:tcPr>
            <w:tcW w:type="dxa" w:w="1728"/>
            <w:shd w:val="clear" w:color="auto" w:fill="1F497D"/>
            <w:vAlign w:val="center"/>
          </w:tcPr>
          <w:p>
            <w:pPr>
              <w:jc w:val="center"/>
            </w:pPr>
            <w:r>
              <w:rPr>
                <w:b/>
                <w:color w:val="FFFFFF"/>
                <w:sz w:val="18"/>
              </w:rPr>
              <w:t>Mean |SHAP|</w:t>
            </w:r>
          </w:p>
        </w:tc>
        <w:tc>
          <w:tcPr>
            <w:tcW w:type="dxa" w:w="5040"/>
            <w:shd w:val="clear" w:color="auto" w:fill="1F497D"/>
            <w:vAlign w:val="center"/>
          </w:tcPr>
          <w:p>
            <w:pPr>
              <w:jc w:val="center"/>
            </w:pPr>
            <w:r>
              <w:rPr>
                <w:b/>
                <w:color w:val="FFFFFF"/>
                <w:sz w:val="18"/>
              </w:rPr>
              <w:t>Interpretation</w:t>
            </w:r>
          </w:p>
        </w:tc>
      </w:tr>
      <w:tr>
        <w:tc>
          <w:tcPr>
            <w:tcW w:type="dxa" w:w="720"/>
          </w:tcPr>
          <w:p/>
        </w:tc>
        <w:tc>
          <w:tcPr>
            <w:tcW w:type="dxa" w:w="2160"/>
          </w:tcPr>
          <w:p/>
        </w:tc>
        <w:tc>
          <w:tcPr>
            <w:tcW w:type="dxa" w:w="1728"/>
          </w:tcPr>
          <w:p/>
        </w:tc>
        <w:tc>
          <w:tcPr>
            <w:tcW w:type="dxa" w:w="5040"/>
          </w:tcPr>
          <w:p/>
        </w:tc>
      </w:tr>
      <w:tr>
        <w:tc>
          <w:tcPr>
            <w:tcW w:type="dxa" w:w="720"/>
          </w:tcPr>
          <w:p/>
        </w:tc>
        <w:tc>
          <w:tcPr>
            <w:tcW w:type="dxa" w:w="2160"/>
          </w:tcPr>
          <w:p/>
        </w:tc>
        <w:tc>
          <w:tcPr>
            <w:tcW w:type="dxa" w:w="1728"/>
          </w:tcPr>
          <w:p/>
        </w:tc>
        <w:tc>
          <w:tcPr>
            <w:tcW w:type="dxa" w:w="5040"/>
          </w:tcPr>
          <w:p/>
        </w:tc>
      </w:tr>
      <w:tr>
        <w:tc>
          <w:tcPr>
            <w:tcW w:type="dxa" w:w="720"/>
          </w:tcPr>
          <w:p/>
        </w:tc>
        <w:tc>
          <w:tcPr>
            <w:tcW w:type="dxa" w:w="2160"/>
          </w:tcPr>
          <w:p/>
        </w:tc>
        <w:tc>
          <w:tcPr>
            <w:tcW w:type="dxa" w:w="1728"/>
          </w:tcPr>
          <w:p/>
        </w:tc>
        <w:tc>
          <w:tcPr>
            <w:tcW w:type="dxa" w:w="5040"/>
          </w:tcPr>
          <w:p/>
        </w:tc>
      </w:tr>
      <w:tr>
        <w:tc>
          <w:tcPr>
            <w:tcW w:type="dxa" w:w="720"/>
          </w:tcPr>
          <w:p/>
        </w:tc>
        <w:tc>
          <w:tcPr>
            <w:tcW w:type="dxa" w:w="2160"/>
          </w:tcPr>
          <w:p/>
        </w:tc>
        <w:tc>
          <w:tcPr>
            <w:tcW w:type="dxa" w:w="1728"/>
          </w:tcPr>
          <w:p/>
        </w:tc>
        <w:tc>
          <w:tcPr>
            <w:tcW w:type="dxa" w:w="5040"/>
          </w:tcPr>
          <w:p/>
        </w:tc>
      </w:tr>
      <w:tr>
        <w:tc>
          <w:tcPr>
            <w:tcW w:type="dxa" w:w="720"/>
          </w:tcPr>
          <w:p/>
        </w:tc>
        <w:tc>
          <w:tcPr>
            <w:tcW w:type="dxa" w:w="2160"/>
          </w:tcPr>
          <w:p/>
        </w:tc>
        <w:tc>
          <w:tcPr>
            <w:tcW w:type="dxa" w:w="1728"/>
          </w:tcPr>
          <w:p/>
        </w:tc>
        <w:tc>
          <w:tcPr>
            <w:tcW w:type="dxa" w:w="5040"/>
          </w:tcPr>
          <w:p/>
        </w:tc>
      </w:tr>
      <w:tr>
        <w:tc>
          <w:tcPr>
            <w:tcW w:type="dxa" w:w="720"/>
            <w:vAlign w:val="center"/>
          </w:tcPr>
          <w:p>
            <w:pPr>
              <w:jc w:val="center"/>
            </w:pPr>
            <w:r>
              <w:rPr>
                <w:sz w:val="18"/>
              </w:rPr>
              <w:t>1</w:t>
            </w:r>
          </w:p>
        </w:tc>
        <w:tc>
          <w:tcPr>
            <w:tcW w:type="dxa" w:w="2160"/>
            <w:vAlign w:val="center"/>
          </w:tcPr>
          <w:p>
            <w:pPr>
              <w:jc w:val="center"/>
            </w:pPr>
            <w:r>
              <w:rPr>
                <w:sz w:val="18"/>
              </w:rPr>
              <w:t>grade</w:t>
            </w:r>
          </w:p>
        </w:tc>
        <w:tc>
          <w:tcPr>
            <w:tcW w:type="dxa" w:w="1728"/>
            <w:vAlign w:val="center"/>
          </w:tcPr>
          <w:p>
            <w:pPr>
              <w:jc w:val="center"/>
            </w:pPr>
            <w:r>
              <w:rPr>
                <w:sz w:val="18"/>
              </w:rPr>
              <w:t>0.3525</w:t>
            </w:r>
          </w:p>
        </w:tc>
        <w:tc>
          <w:tcPr>
            <w:tcW w:type="dxa" w:w="5040"/>
            <w:vAlign w:val="center"/>
          </w:tcPr>
          <w:p>
            <w:pPr>
              <w:jc w:val="center"/>
            </w:pPr>
            <w:r>
              <w:rPr>
                <w:sz w:val="18"/>
              </w:rPr>
              <w:t>LendingClub's own risk grade — the single strongest signal</w:t>
            </w:r>
          </w:p>
        </w:tc>
      </w:tr>
      <w:tr>
        <w:tc>
          <w:tcPr>
            <w:tcW w:type="dxa" w:w="720"/>
            <w:shd w:val="clear" w:color="auto" w:fill="EBF2FA"/>
            <w:vAlign w:val="center"/>
          </w:tcPr>
          <w:p>
            <w:pPr>
              <w:jc w:val="center"/>
            </w:pPr>
            <w:r>
              <w:rPr>
                <w:sz w:val="18"/>
              </w:rPr>
              <w:t>2</w:t>
            </w:r>
          </w:p>
        </w:tc>
        <w:tc>
          <w:tcPr>
            <w:tcW w:type="dxa" w:w="2160"/>
            <w:shd w:val="clear" w:color="auto" w:fill="EBF2FA"/>
            <w:vAlign w:val="center"/>
          </w:tcPr>
          <w:p>
            <w:pPr>
              <w:jc w:val="center"/>
            </w:pPr>
            <w:r>
              <w:rPr>
                <w:sz w:val="18"/>
              </w:rPr>
              <w:t>int_rate</w:t>
            </w:r>
          </w:p>
        </w:tc>
        <w:tc>
          <w:tcPr>
            <w:tcW w:type="dxa" w:w="1728"/>
            <w:shd w:val="clear" w:color="auto" w:fill="EBF2FA"/>
            <w:vAlign w:val="center"/>
          </w:tcPr>
          <w:p>
            <w:pPr>
              <w:jc w:val="center"/>
            </w:pPr>
            <w:r>
              <w:rPr>
                <w:sz w:val="18"/>
              </w:rPr>
              <w:t>0.1949</w:t>
            </w:r>
          </w:p>
        </w:tc>
        <w:tc>
          <w:tcPr>
            <w:tcW w:type="dxa" w:w="5040"/>
            <w:shd w:val="clear" w:color="auto" w:fill="EBF2FA"/>
            <w:vAlign w:val="center"/>
          </w:tcPr>
          <w:p>
            <w:pPr>
              <w:jc w:val="center"/>
            </w:pPr>
            <w:r>
              <w:rPr>
                <w:sz w:val="18"/>
              </w:rPr>
              <w:t>Interest rate set by grade — closely correlated with grade</w:t>
            </w:r>
          </w:p>
        </w:tc>
      </w:tr>
      <w:tr>
        <w:tc>
          <w:tcPr>
            <w:tcW w:type="dxa" w:w="720"/>
            <w:vAlign w:val="center"/>
          </w:tcPr>
          <w:p>
            <w:pPr>
              <w:jc w:val="center"/>
            </w:pPr>
            <w:r>
              <w:rPr>
                <w:sz w:val="18"/>
              </w:rPr>
              <w:t>3</w:t>
            </w:r>
          </w:p>
        </w:tc>
        <w:tc>
          <w:tcPr>
            <w:tcW w:type="dxa" w:w="2160"/>
            <w:vAlign w:val="center"/>
          </w:tcPr>
          <w:p>
            <w:pPr>
              <w:jc w:val="center"/>
            </w:pPr>
            <w:r>
              <w:rPr>
                <w:sz w:val="18"/>
              </w:rPr>
              <w:t>loan_amnt</w:t>
            </w:r>
          </w:p>
        </w:tc>
        <w:tc>
          <w:tcPr>
            <w:tcW w:type="dxa" w:w="1728"/>
            <w:vAlign w:val="center"/>
          </w:tcPr>
          <w:p>
            <w:pPr>
              <w:jc w:val="center"/>
            </w:pPr>
            <w:r>
              <w:rPr>
                <w:sz w:val="18"/>
              </w:rPr>
              <w:t>0.1838</w:t>
            </w:r>
          </w:p>
        </w:tc>
        <w:tc>
          <w:tcPr>
            <w:tcW w:type="dxa" w:w="5040"/>
            <w:vAlign w:val="center"/>
          </w:tcPr>
          <w:p>
            <w:pPr>
              <w:jc w:val="center"/>
            </w:pPr>
            <w:r>
              <w:rPr>
                <w:sz w:val="18"/>
              </w:rPr>
              <w:t>Higher loan amounts increase default risk</w:t>
            </w:r>
          </w:p>
        </w:tc>
      </w:tr>
      <w:tr>
        <w:tc>
          <w:tcPr>
            <w:tcW w:type="dxa" w:w="720"/>
            <w:shd w:val="clear" w:color="auto" w:fill="EBF2FA"/>
            <w:vAlign w:val="center"/>
          </w:tcPr>
          <w:p>
            <w:pPr>
              <w:jc w:val="center"/>
            </w:pPr>
            <w:r>
              <w:rPr>
                <w:sz w:val="18"/>
              </w:rPr>
              <w:t>4</w:t>
            </w:r>
          </w:p>
        </w:tc>
        <w:tc>
          <w:tcPr>
            <w:tcW w:type="dxa" w:w="2160"/>
            <w:shd w:val="clear" w:color="auto" w:fill="EBF2FA"/>
            <w:vAlign w:val="center"/>
          </w:tcPr>
          <w:p>
            <w:pPr>
              <w:jc w:val="center"/>
            </w:pPr>
            <w:r>
              <w:rPr>
                <w:sz w:val="18"/>
              </w:rPr>
              <w:t>annual_inc</w:t>
            </w:r>
          </w:p>
        </w:tc>
        <w:tc>
          <w:tcPr>
            <w:tcW w:type="dxa" w:w="1728"/>
            <w:shd w:val="clear" w:color="auto" w:fill="EBF2FA"/>
            <w:vAlign w:val="center"/>
          </w:tcPr>
          <w:p>
            <w:pPr>
              <w:jc w:val="center"/>
            </w:pPr>
            <w:r>
              <w:rPr>
                <w:sz w:val="18"/>
              </w:rPr>
              <w:t>0.1181</w:t>
            </w:r>
          </w:p>
        </w:tc>
        <w:tc>
          <w:tcPr>
            <w:tcW w:type="dxa" w:w="5040"/>
            <w:shd w:val="clear" w:color="auto" w:fill="EBF2FA"/>
            <w:vAlign w:val="center"/>
          </w:tcPr>
          <w:p>
            <w:pPr>
              <w:jc w:val="center"/>
            </w:pPr>
            <w:r>
              <w:rPr>
                <w:sz w:val="18"/>
              </w:rPr>
              <w:t>Higher income lowers default risk (negative SHAP)</w:t>
            </w:r>
          </w:p>
        </w:tc>
      </w:tr>
      <w:tr>
        <w:tc>
          <w:tcPr>
            <w:tcW w:type="dxa" w:w="720"/>
            <w:vAlign w:val="center"/>
          </w:tcPr>
          <w:p>
            <w:pPr>
              <w:jc w:val="center"/>
            </w:pPr>
            <w:r>
              <w:rPr>
                <w:sz w:val="18"/>
              </w:rPr>
              <w:t>5</w:t>
            </w:r>
          </w:p>
        </w:tc>
        <w:tc>
          <w:tcPr>
            <w:tcW w:type="dxa" w:w="2160"/>
            <w:vAlign w:val="center"/>
          </w:tcPr>
          <w:p>
            <w:pPr>
              <w:jc w:val="center"/>
            </w:pPr>
            <w:r>
              <w:rPr>
                <w:sz w:val="18"/>
              </w:rPr>
              <w:t>dti</w:t>
            </w:r>
          </w:p>
        </w:tc>
        <w:tc>
          <w:tcPr>
            <w:tcW w:type="dxa" w:w="1728"/>
            <w:vAlign w:val="center"/>
          </w:tcPr>
          <w:p>
            <w:pPr>
              <w:jc w:val="center"/>
            </w:pPr>
            <w:r>
              <w:rPr>
                <w:sz w:val="18"/>
              </w:rPr>
              <w:t>0.1061</w:t>
            </w:r>
          </w:p>
        </w:tc>
        <w:tc>
          <w:tcPr>
            <w:tcW w:type="dxa" w:w="5040"/>
            <w:vAlign w:val="center"/>
          </w:tcPr>
          <w:p>
            <w:pPr>
              <w:jc w:val="center"/>
            </w:pPr>
            <w:r>
              <w:rPr>
                <w:sz w:val="18"/>
              </w:rPr>
              <w:t>Higher debt burden increases default risk</w:t>
            </w:r>
          </w:p>
        </w:tc>
      </w:tr>
    </w:tbl>
    <w:p>
      <w:pPr>
        <w:spacing w:after="120"/>
      </w:pPr>
    </w:p>
    <w:p>
      <w:pPr>
        <w:pStyle w:val="Heading2"/>
        <w:spacing w:before="240" w:after="120"/>
      </w:pPr>
      <w:r>
        <w:rPr>
          <w:color w:val="1F497D"/>
        </w:rPr>
        <w:t>18.2  Individual Explanations — Waterfall Plots</w:t>
      </w:r>
    </w:p>
    <w:p>
      <w:pPr>
        <w:spacing w:after="120" w:before="40"/>
      </w:pPr>
      <w:r>
        <w:rPr>
          <w:b w:val="0"/>
          <w:i w:val="0"/>
        </w:rPr>
        <w:t>Waterfall plots show how each feature pushed a specific loan's prediction above or below the base rate. Two contrasting loans were selected: a high-risk borrower (predicted probability 0.883, actual DEFAULT) and a low-risk borrower (predicted probability 0.111, actual FULLY PAID).</w:t>
      </w:r>
    </w:p>
    <w:p>
      <w:pPr>
        <w:jc w:val="center"/>
      </w:pPr>
      <w:r>
        <w:drawing>
          <wp:inline xmlns:a="http://schemas.openxmlformats.org/drawingml/2006/main" xmlns:pic="http://schemas.openxmlformats.org/drawingml/2006/picture">
            <wp:extent cx="5486400" cy="5809774"/>
            <wp:docPr id="16" name="Picture 16"/>
            <wp:cNvGraphicFramePr>
              <a:graphicFrameLocks noChangeAspect="1"/>
            </wp:cNvGraphicFramePr>
            <a:graphic>
              <a:graphicData uri="http://schemas.openxmlformats.org/drawingml/2006/picture">
                <pic:pic>
                  <pic:nvPicPr>
                    <pic:cNvPr id="0" name="shap_waterfall_high.png"/>
                    <pic:cNvPicPr/>
                  </pic:nvPicPr>
                  <pic:blipFill>
                    <a:blip r:embed="rId24"/>
                    <a:stretch>
                      <a:fillRect/>
                    </a:stretch>
                  </pic:blipFill>
                  <pic:spPr>
                    <a:xfrm>
                      <a:off x="0" y="0"/>
                      <a:ext cx="5486400" cy="5809774"/>
                    </a:xfrm>
                    <a:prstGeom prst="rect"/>
                  </pic:spPr>
                </pic:pic>
              </a:graphicData>
            </a:graphic>
          </wp:inline>
        </w:drawing>
      </w:r>
    </w:p>
    <w:p>
      <w:pPr>
        <w:spacing w:after="200"/>
        <w:jc w:val="center"/>
      </w:pPr>
      <w:r>
        <w:rPr>
          <w:i/>
          <w:color w:val="555555"/>
          <w:sz w:val="18"/>
        </w:rPr>
        <w:t>Figure: Waterfall plot for high-risk borrower (prob = 0.883). Red bars push the prediction higher (towards default); blue bars push it lower. Grade and int_rate dominate.</w:t>
      </w:r>
    </w:p>
    <w:p>
      <w:pPr>
        <w:jc w:val="center"/>
      </w:pPr>
      <w:r>
        <w:drawing>
          <wp:inline xmlns:a="http://schemas.openxmlformats.org/drawingml/2006/main" xmlns:pic="http://schemas.openxmlformats.org/drawingml/2006/picture">
            <wp:extent cx="5486400" cy="5964702"/>
            <wp:docPr id="17" name="Picture 17"/>
            <wp:cNvGraphicFramePr>
              <a:graphicFrameLocks noChangeAspect="1"/>
            </wp:cNvGraphicFramePr>
            <a:graphic>
              <a:graphicData uri="http://schemas.openxmlformats.org/drawingml/2006/picture">
                <pic:pic>
                  <pic:nvPicPr>
                    <pic:cNvPr id="0" name="shap_waterfall_low.png"/>
                    <pic:cNvPicPr/>
                  </pic:nvPicPr>
                  <pic:blipFill>
                    <a:blip r:embed="rId25"/>
                    <a:stretch>
                      <a:fillRect/>
                    </a:stretch>
                  </pic:blipFill>
                  <pic:spPr>
                    <a:xfrm>
                      <a:off x="0" y="0"/>
                      <a:ext cx="5486400" cy="5964702"/>
                    </a:xfrm>
                    <a:prstGeom prst="rect"/>
                  </pic:spPr>
                </pic:pic>
              </a:graphicData>
            </a:graphic>
          </wp:inline>
        </w:drawing>
      </w:r>
    </w:p>
    <w:p>
      <w:pPr>
        <w:spacing w:after="200"/>
        <w:jc w:val="center"/>
      </w:pPr>
      <w:r>
        <w:rPr>
          <w:i/>
          <w:color w:val="555555"/>
          <w:sz w:val="18"/>
        </w:rPr>
        <w:t>Figure: Waterfall plot for low-risk borrower (prob = 0.111). Low grade, low int_rate, and high income all push the risk score down.</w:t>
      </w:r>
    </w:p>
    <w:p>
      <w:pPr>
        <w:pStyle w:val="Heading2"/>
        <w:spacing w:before="240" w:after="120"/>
      </w:pPr>
      <w:r>
        <w:rPr>
          <w:color w:val="1F497D"/>
        </w:rPr>
        <w:t>18.3  Dependence Plots — How Grade and Rate Interact</w:t>
      </w:r>
    </w:p>
    <w:p>
      <w:pPr>
        <w:spacing w:after="120" w:before="40"/>
      </w:pPr>
      <w:r>
        <w:rPr>
          <w:b w:val="0"/>
          <w:i w:val="0"/>
        </w:rPr>
        <w:t>Dependence plots show how a single feature's SHAP value varies with its actual value, and how a second feature (colour) modulates that relationship. The plots confirm that grade and interest rate interact strongly — high-grade, low-rate loans receive strongly negative SHAP (lower default risk), while low-grade, high-rate loans receive strongly positive SHAP (higher default risk).</w:t>
      </w:r>
    </w:p>
    <w:p>
      <w:pPr>
        <w:jc w:val="center"/>
      </w:pPr>
      <w:r>
        <w:drawing>
          <wp:inline xmlns:a="http://schemas.openxmlformats.org/drawingml/2006/main" xmlns:pic="http://schemas.openxmlformats.org/drawingml/2006/picture">
            <wp:extent cx="5669280" cy="2023761"/>
            <wp:docPr id="18" name="Picture 18"/>
            <wp:cNvGraphicFramePr>
              <a:graphicFrameLocks noChangeAspect="1"/>
            </wp:cNvGraphicFramePr>
            <a:graphic>
              <a:graphicData uri="http://schemas.openxmlformats.org/drawingml/2006/picture">
                <pic:pic>
                  <pic:nvPicPr>
                    <pic:cNvPr id="0" name="shap_dependence.png"/>
                    <pic:cNvPicPr/>
                  </pic:nvPicPr>
                  <pic:blipFill>
                    <a:blip r:embed="rId26"/>
                    <a:stretch>
                      <a:fillRect/>
                    </a:stretch>
                  </pic:blipFill>
                  <pic:spPr>
                    <a:xfrm>
                      <a:off x="0" y="0"/>
                      <a:ext cx="5669280" cy="2023761"/>
                    </a:xfrm>
                    <a:prstGeom prst="rect"/>
                  </pic:spPr>
                </pic:pic>
              </a:graphicData>
            </a:graphic>
          </wp:inline>
        </w:drawing>
      </w:r>
    </w:p>
    <w:p>
      <w:pPr>
        <w:spacing w:after="200"/>
        <w:jc w:val="center"/>
      </w:pPr>
      <w:r>
        <w:rPr>
          <w:i/>
          <w:color w:val="555555"/>
          <w:sz w:val="18"/>
        </w:rPr>
        <w:t>Figure: SHAP dependence plots for grade (left) and int_rate (right). Colour encodes a second interacting feature.</w:t>
      </w:r>
    </w:p>
    <w:tbl>
      <w:tblPr>
        <w:tblStyle w:val="TableGrid"/>
        <w:tblW w:type="auto" w:w="0"/>
        <w:tblLook w:firstColumn="1" w:firstRow="1" w:lastColumn="0" w:lastRow="0" w:noHBand="0" w:noVBand="1" w:val="04A0"/>
      </w:tblPr>
      <w:tblGrid>
        <w:gridCol w:w="8640"/>
      </w:tblGrid>
      <w:tr>
        <w:tc>
          <w:tcPr>
            <w:tcW w:type="dxa" w:w="8640"/>
            <w:shd w:val="clear" w:color="auto" w:fill="1F6B31"/>
          </w:tcPr>
          <w:p>
            <w:pPr>
              <w:spacing w:before="80" w:after="80"/>
            </w:pPr>
            <w:r>
              <w:rPr>
                <w:b/>
                <w:color w:val="FFFFFF"/>
                <w:sz w:val="18"/>
              </w:rPr>
              <w:t xml:space="preserve">KEY TAKEAWAY:  </w:t>
            </w:r>
            <w:r>
              <w:rPr>
                <w:color w:val="FFFFFF"/>
                <w:sz w:val="18"/>
              </w:rPr>
              <w:t>SHAP analysis confirms the model is behaving as expected: grade and interest rate dominate because they are LendingClub's own risk assessment, condensed into a single variable. The model is learning to trust the platform's existing risk judgement — then refining it with income, DTI, and loan amount.</w:t>
            </w:r>
          </w:p>
        </w:tc>
      </w:tr>
    </w:tbl>
    <w:p>
      <w:pPr>
        <w:spacing w:after="80"/>
      </w:pPr>
    </w:p>
    <w:p>
      <w:r>
        <w:br w:type="page"/>
      </w:r>
    </w:p>
    <w:p>
      <w:pPr>
        <w:pStyle w:val="Heading1"/>
        <w:spacing w:before="240" w:after="120"/>
      </w:pPr>
      <w:r>
        <w:rPr>
          <w:color w:val="0D2B55"/>
        </w:rPr>
        <w:t>19. SQL Analysis — Business Questions Answered with SQL</w:t>
      </w:r>
    </w:p>
    <w:p>
      <w:pPr>
        <w:spacing w:after="120" w:before="40"/>
      </w:pPr>
      <w:r>
        <w:rPr>
          <w:b w:val="0"/>
          <w:i w:val="0"/>
        </w:rPr>
        <w:t>Notebook 08 loads the 1.35M loans dataset into a SQLite in-memory database and answers 9 targeted business questions using SQL. This demonstrates how SQL can deliver immediate analytical value on top of a machine learning dataset — covering GROUP BY, HAVING, CASE, Common Table Expressions (CTEs), and Window Functions.</w:t>
      </w:r>
    </w:p>
    <w:p>
      <w:pPr>
        <w:pStyle w:val="Heading2"/>
        <w:spacing w:before="240" w:after="120"/>
      </w:pPr>
      <w:r>
        <w:rPr>
          <w:color w:val="1F497D"/>
        </w:rPr>
        <w:t>19.1  Default Rate by Loan Grade (Q1)</w:t>
      </w:r>
    </w:p>
    <w:p>
      <w:pPr>
        <w:spacing w:after="120" w:before="40"/>
      </w:pPr>
      <w:r>
        <w:rPr>
          <w:b w:val="0"/>
          <w:i w:val="0"/>
        </w:rPr>
        <w:t>Grade is LendingClub's internal credit assessment (A = safest, G = riskiest). SQL GROUP BY confirms a monotonic relationship: each grade step adds roughly 4–6 percentage points to the default rate.</w:t>
      </w:r>
    </w:p>
    <w:p>
      <w:pPr>
        <w:jc w:val="center"/>
      </w:pPr>
      <w:r>
        <w:drawing>
          <wp:inline xmlns:a="http://schemas.openxmlformats.org/drawingml/2006/main" xmlns:pic="http://schemas.openxmlformats.org/drawingml/2006/picture">
            <wp:extent cx="5669280" cy="1744394"/>
            <wp:docPr id="19" name="Picture 19"/>
            <wp:cNvGraphicFramePr>
              <a:graphicFrameLocks noChangeAspect="1"/>
            </wp:cNvGraphicFramePr>
            <a:graphic>
              <a:graphicData uri="http://schemas.openxmlformats.org/drawingml/2006/picture">
                <pic:pic>
                  <pic:nvPicPr>
                    <pic:cNvPr id="0" name="sql_q1_grade.png"/>
                    <pic:cNvPicPr/>
                  </pic:nvPicPr>
                  <pic:blipFill>
                    <a:blip r:embed="rId27"/>
                    <a:stretch>
                      <a:fillRect/>
                    </a:stretch>
                  </pic:blipFill>
                  <pic:spPr>
                    <a:xfrm>
                      <a:off x="0" y="0"/>
                      <a:ext cx="5669280" cy="1744394"/>
                    </a:xfrm>
                    <a:prstGeom prst="rect"/>
                  </pic:spPr>
                </pic:pic>
              </a:graphicData>
            </a:graphic>
          </wp:inline>
        </w:drawing>
      </w:r>
    </w:p>
    <w:p>
      <w:pPr>
        <w:spacing w:after="200"/>
        <w:jc w:val="center"/>
      </w:pPr>
      <w:r>
        <w:rPr>
          <w:i/>
          <w:color w:val="555555"/>
          <w:sz w:val="18"/>
        </w:rPr>
        <w:t>Figure: Default rate (left) and average interest rate (right) by loan grade. Grade G defaults at ~3× the rate of Grade A.</w:t>
      </w:r>
    </w:p>
    <w:p>
      <w:pPr>
        <w:pStyle w:val="Heading2"/>
        <w:spacing w:before="240" w:after="120"/>
      </w:pPr>
      <w:r>
        <w:rPr>
          <w:color w:val="1F497D"/>
        </w:rPr>
        <w:t>19.2  State-Level Analysis (Q2)</w:t>
      </w:r>
    </w:p>
    <w:p>
      <w:pPr>
        <w:spacing w:after="120" w:before="40"/>
      </w:pPr>
      <w:r>
        <w:rPr>
          <w:b w:val="0"/>
          <w:i w:val="0"/>
        </w:rPr>
        <w:t>Using HAVING COUNT(*) &gt;= 5,000 to ensure statistical reliability, California, New York, Texas, and Florida dominate by volume. The highest default rates by state vary by 5–8 percentage points from the lowest.</w:t>
      </w:r>
    </w:p>
    <w:p>
      <w:pPr>
        <w:jc w:val="center"/>
      </w:pPr>
      <w:r>
        <w:drawing>
          <wp:inline xmlns:a="http://schemas.openxmlformats.org/drawingml/2006/main" xmlns:pic="http://schemas.openxmlformats.org/drawingml/2006/picture">
            <wp:extent cx="5669280" cy="2024743"/>
            <wp:docPr id="20" name="Picture 20"/>
            <wp:cNvGraphicFramePr>
              <a:graphicFrameLocks noChangeAspect="1"/>
            </wp:cNvGraphicFramePr>
            <a:graphic>
              <a:graphicData uri="http://schemas.openxmlformats.org/drawingml/2006/picture">
                <pic:pic>
                  <pic:nvPicPr>
                    <pic:cNvPr id="0" name="sql_q2_states.png"/>
                    <pic:cNvPicPr/>
                  </pic:nvPicPr>
                  <pic:blipFill>
                    <a:blip r:embed="rId28"/>
                    <a:stretch>
                      <a:fillRect/>
                    </a:stretch>
                  </pic:blipFill>
                  <pic:spPr>
                    <a:xfrm>
                      <a:off x="0" y="0"/>
                      <a:ext cx="5669280" cy="2024743"/>
                    </a:xfrm>
                    <a:prstGeom prst="rect"/>
                  </pic:spPr>
                </pic:pic>
              </a:graphicData>
            </a:graphic>
          </wp:inline>
        </w:drawing>
      </w:r>
    </w:p>
    <w:p>
      <w:pPr>
        <w:spacing w:after="200"/>
        <w:jc w:val="center"/>
      </w:pPr>
      <w:r>
        <w:rPr>
          <w:i/>
          <w:color w:val="555555"/>
          <w:sz w:val="18"/>
        </w:rPr>
        <w:t>Figure: Top 10 states by loan volume (left) and default rate (right, min 5K loans).</w:t>
      </w:r>
    </w:p>
    <w:p>
      <w:pPr>
        <w:pStyle w:val="Heading2"/>
        <w:spacing w:before="240" w:after="120"/>
      </w:pPr>
      <w:r>
        <w:rPr>
          <w:color w:val="1F497D"/>
        </w:rPr>
        <w:t>19.3  Loan Purpose Risk Ranking (Q3)</w:t>
      </w:r>
    </w:p>
    <w:p>
      <w:pPr>
        <w:spacing w:after="120" w:before="40"/>
      </w:pPr>
      <w:r>
        <w:rPr>
          <w:b w:val="0"/>
          <w:i w:val="0"/>
        </w:rPr>
        <w:t>CASE expressions label each loan purpose as High (&gt;25%), Medium (&gt;18%), or Low risk. Small business loans carry the highest default rate; credit card refinancing and home improvement are the safest categories.</w:t>
      </w:r>
    </w:p>
    <w:p>
      <w:pPr>
        <w:jc w:val="center"/>
      </w:pPr>
      <w:r>
        <w:drawing>
          <wp:inline xmlns:a="http://schemas.openxmlformats.org/drawingml/2006/main" xmlns:pic="http://schemas.openxmlformats.org/drawingml/2006/picture">
            <wp:extent cx="5303520" cy="2892829"/>
            <wp:docPr id="21" name="Picture 21"/>
            <wp:cNvGraphicFramePr>
              <a:graphicFrameLocks noChangeAspect="1"/>
            </wp:cNvGraphicFramePr>
            <a:graphic>
              <a:graphicData uri="http://schemas.openxmlformats.org/drawingml/2006/picture">
                <pic:pic>
                  <pic:nvPicPr>
                    <pic:cNvPr id="0" name="sql_q3_purpose.png"/>
                    <pic:cNvPicPr/>
                  </pic:nvPicPr>
                  <pic:blipFill>
                    <a:blip r:embed="rId29"/>
                    <a:stretch>
                      <a:fillRect/>
                    </a:stretch>
                  </pic:blipFill>
                  <pic:spPr>
                    <a:xfrm>
                      <a:off x="0" y="0"/>
                      <a:ext cx="5303520" cy="2892829"/>
                    </a:xfrm>
                    <a:prstGeom prst="rect"/>
                  </pic:spPr>
                </pic:pic>
              </a:graphicData>
            </a:graphic>
          </wp:inline>
        </w:drawing>
      </w:r>
    </w:p>
    <w:p>
      <w:pPr>
        <w:spacing w:after="200"/>
        <w:jc w:val="center"/>
      </w:pPr>
      <w:r>
        <w:rPr>
          <w:i/>
          <w:color w:val="555555"/>
          <w:sz w:val="18"/>
        </w:rPr>
        <w:t>Figure: Default rate by loan purpose. Red = High Risk (&gt;25%), Orange = Medium (&gt;18%), Green = Low Risk.</w:t>
      </w:r>
    </w:p>
    <w:p>
      <w:pPr>
        <w:pStyle w:val="Heading2"/>
        <w:spacing w:before="240" w:after="120"/>
      </w:pPr>
      <w:r>
        <w:rPr>
          <w:color w:val="1F497D"/>
        </w:rPr>
        <w:t>19.4  Running Total — Window Function (Q6)</w:t>
      </w:r>
    </w:p>
    <w:p>
      <w:pPr>
        <w:spacing w:after="120" w:before="40"/>
      </w:pPr>
      <w:r>
        <w:rPr>
          <w:b w:val="0"/>
          <w:i w:val="0"/>
        </w:rPr>
        <w:t>SUM() OVER (ORDER BY year) computes a cumulative count and loan volume without collapsing rows — a window function that GROUP BY alone cannot achieve. The charts show LendingClub's explosive growth from a few thousand loans in 2007 to over 1.35M cumulative loans by 2018.</w:t>
      </w:r>
    </w:p>
    <w:p>
      <w:pPr>
        <w:jc w:val="center"/>
      </w:pPr>
      <w:r>
        <w:drawing>
          <wp:inline xmlns:a="http://schemas.openxmlformats.org/drawingml/2006/main" xmlns:pic="http://schemas.openxmlformats.org/drawingml/2006/picture">
            <wp:extent cx="5669280" cy="2024743"/>
            <wp:docPr id="22" name="Picture 22"/>
            <wp:cNvGraphicFramePr>
              <a:graphicFrameLocks noChangeAspect="1"/>
            </wp:cNvGraphicFramePr>
            <a:graphic>
              <a:graphicData uri="http://schemas.openxmlformats.org/drawingml/2006/picture">
                <pic:pic>
                  <pic:nvPicPr>
                    <pic:cNvPr id="0" name="sql_q6_running.png"/>
                    <pic:cNvPicPr/>
                  </pic:nvPicPr>
                  <pic:blipFill>
                    <a:blip r:embed="rId30"/>
                    <a:stretch>
                      <a:fillRect/>
                    </a:stretch>
                  </pic:blipFill>
                  <pic:spPr>
                    <a:xfrm>
                      <a:off x="0" y="0"/>
                      <a:ext cx="5669280" cy="2024743"/>
                    </a:xfrm>
                    <a:prstGeom prst="rect"/>
                  </pic:spPr>
                </pic:pic>
              </a:graphicData>
            </a:graphic>
          </wp:inline>
        </w:drawing>
      </w:r>
    </w:p>
    <w:p>
      <w:pPr>
        <w:spacing w:after="200"/>
        <w:jc w:val="center"/>
      </w:pPr>
      <w:r>
        <w:rPr>
          <w:i/>
          <w:color w:val="555555"/>
          <w:sz w:val="18"/>
        </w:rPr>
        <w:t>Figure: Running total of loans issued (left) and cumulative loan volume in $M (right).</w:t>
      </w:r>
    </w:p>
    <w:p>
      <w:pPr>
        <w:pStyle w:val="Heading2"/>
        <w:spacing w:before="240" w:after="120"/>
      </w:pPr>
      <w:r>
        <w:rPr>
          <w:color w:val="1F497D"/>
        </w:rPr>
        <w:t>19.5  Grade x Purpose Heatmap (Q9)</w:t>
      </w:r>
    </w:p>
    <w:p>
      <w:pPr>
        <w:spacing w:after="120" w:before="40"/>
      </w:pPr>
      <w:r>
        <w:rPr>
          <w:b w:val="0"/>
          <w:i w:val="0"/>
        </w:rPr>
        <w:t>A two-dimensional GROUP BY across grade and purpose reveals which combinations carry the greatest risk. Grade G small business loans are the riskiest combination; Grade A credit card loans are the safest.</w:t>
      </w:r>
    </w:p>
    <w:p>
      <w:pPr>
        <w:jc w:val="center"/>
      </w:pPr>
      <w:r>
        <w:drawing>
          <wp:inline xmlns:a="http://schemas.openxmlformats.org/drawingml/2006/main" xmlns:pic="http://schemas.openxmlformats.org/drawingml/2006/picture">
            <wp:extent cx="5669280" cy="3779520"/>
            <wp:docPr id="23" name="Picture 23"/>
            <wp:cNvGraphicFramePr>
              <a:graphicFrameLocks noChangeAspect="1"/>
            </wp:cNvGraphicFramePr>
            <a:graphic>
              <a:graphicData uri="http://schemas.openxmlformats.org/drawingml/2006/picture">
                <pic:pic>
                  <pic:nvPicPr>
                    <pic:cNvPr id="0" name="sql_q9_matrix.png"/>
                    <pic:cNvPicPr/>
                  </pic:nvPicPr>
                  <pic:blipFill>
                    <a:blip r:embed="rId31"/>
                    <a:stretch>
                      <a:fillRect/>
                    </a:stretch>
                  </pic:blipFill>
                  <pic:spPr>
                    <a:xfrm>
                      <a:off x="0" y="0"/>
                      <a:ext cx="5669280" cy="3779520"/>
                    </a:xfrm>
                    <a:prstGeom prst="rect"/>
                  </pic:spPr>
                </pic:pic>
              </a:graphicData>
            </a:graphic>
          </wp:inline>
        </w:drawing>
      </w:r>
    </w:p>
    <w:p>
      <w:pPr>
        <w:spacing w:after="200"/>
        <w:jc w:val="center"/>
      </w:pPr>
      <w:r>
        <w:rPr>
          <w:i/>
          <w:color w:val="555555"/>
          <w:sz w:val="18"/>
        </w:rPr>
        <w:t>Figure: Default rate heatmap — loan grade (columns) x purpose (rows). Darker red = higher default risk.</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1F497D"/>
            <w:vAlign w:val="center"/>
          </w:tcPr>
          <w:p>
            <w:pPr>
              <w:jc w:val="center"/>
            </w:pPr>
            <w:r>
              <w:rPr>
                <w:b/>
                <w:color w:val="FFFFFF"/>
                <w:sz w:val="18"/>
              </w:rPr>
              <w:t>Q#</w:t>
            </w:r>
          </w:p>
        </w:tc>
        <w:tc>
          <w:tcPr>
            <w:tcW w:type="dxa" w:w="4032"/>
            <w:shd w:val="clear" w:color="auto" w:fill="1F497D"/>
            <w:vAlign w:val="center"/>
          </w:tcPr>
          <w:p>
            <w:pPr>
              <w:jc w:val="center"/>
            </w:pPr>
            <w:r>
              <w:rPr>
                <w:b/>
                <w:color w:val="FFFFFF"/>
                <w:sz w:val="18"/>
              </w:rPr>
              <w:t>Business Question</w:t>
            </w:r>
          </w:p>
        </w:tc>
        <w:tc>
          <w:tcPr>
            <w:tcW w:type="dxa" w:w="4176"/>
            <w:shd w:val="clear" w:color="auto" w:fill="1F497D"/>
            <w:vAlign w:val="center"/>
          </w:tcPr>
          <w:p>
            <w:pPr>
              <w:jc w:val="center"/>
            </w:pPr>
            <w:r>
              <w:rPr>
                <w:b/>
                <w:color w:val="FFFFFF"/>
                <w:sz w:val="18"/>
              </w:rPr>
              <w:t>SQL Concept</w:t>
            </w:r>
          </w:p>
        </w:tc>
      </w:tr>
      <w:tr>
        <w:tc>
          <w:tcPr>
            <w:tcW w:type="dxa" w:w="576"/>
          </w:tcPr>
          <w:p/>
        </w:tc>
        <w:tc>
          <w:tcPr>
            <w:tcW w:type="dxa" w:w="4032"/>
          </w:tcPr>
          <w:p/>
        </w:tc>
        <w:tc>
          <w:tcPr>
            <w:tcW w:type="dxa" w:w="4176"/>
          </w:tcPr>
          <w:p/>
        </w:tc>
      </w:tr>
      <w:tr>
        <w:tc>
          <w:tcPr>
            <w:tcW w:type="dxa" w:w="576"/>
          </w:tcPr>
          <w:p/>
        </w:tc>
        <w:tc>
          <w:tcPr>
            <w:tcW w:type="dxa" w:w="4032"/>
          </w:tcPr>
          <w:p/>
        </w:tc>
        <w:tc>
          <w:tcPr>
            <w:tcW w:type="dxa" w:w="4176"/>
          </w:tcPr>
          <w:p/>
        </w:tc>
      </w:tr>
      <w:tr>
        <w:tc>
          <w:tcPr>
            <w:tcW w:type="dxa" w:w="576"/>
          </w:tcPr>
          <w:p/>
        </w:tc>
        <w:tc>
          <w:tcPr>
            <w:tcW w:type="dxa" w:w="4032"/>
          </w:tcPr>
          <w:p/>
        </w:tc>
        <w:tc>
          <w:tcPr>
            <w:tcW w:type="dxa" w:w="4176"/>
          </w:tcPr>
          <w:p/>
        </w:tc>
      </w:tr>
      <w:tr>
        <w:tc>
          <w:tcPr>
            <w:tcW w:type="dxa" w:w="576"/>
          </w:tcPr>
          <w:p/>
        </w:tc>
        <w:tc>
          <w:tcPr>
            <w:tcW w:type="dxa" w:w="4032"/>
          </w:tcPr>
          <w:p/>
        </w:tc>
        <w:tc>
          <w:tcPr>
            <w:tcW w:type="dxa" w:w="4176"/>
          </w:tcPr>
          <w:p/>
        </w:tc>
      </w:tr>
      <w:tr>
        <w:tc>
          <w:tcPr>
            <w:tcW w:type="dxa" w:w="576"/>
          </w:tcPr>
          <w:p/>
        </w:tc>
        <w:tc>
          <w:tcPr>
            <w:tcW w:type="dxa" w:w="4032"/>
          </w:tcPr>
          <w:p/>
        </w:tc>
        <w:tc>
          <w:tcPr>
            <w:tcW w:type="dxa" w:w="4176"/>
          </w:tcPr>
          <w:p/>
        </w:tc>
      </w:tr>
      <w:tr>
        <w:tc>
          <w:tcPr>
            <w:tcW w:type="dxa" w:w="576"/>
          </w:tcPr>
          <w:p/>
        </w:tc>
        <w:tc>
          <w:tcPr>
            <w:tcW w:type="dxa" w:w="4032"/>
          </w:tcPr>
          <w:p/>
        </w:tc>
        <w:tc>
          <w:tcPr>
            <w:tcW w:type="dxa" w:w="4176"/>
          </w:tcPr>
          <w:p/>
        </w:tc>
      </w:tr>
      <w:tr>
        <w:tc>
          <w:tcPr>
            <w:tcW w:type="dxa" w:w="576"/>
          </w:tcPr>
          <w:p/>
        </w:tc>
        <w:tc>
          <w:tcPr>
            <w:tcW w:type="dxa" w:w="4032"/>
          </w:tcPr>
          <w:p/>
        </w:tc>
        <w:tc>
          <w:tcPr>
            <w:tcW w:type="dxa" w:w="4176"/>
          </w:tcPr>
          <w:p/>
        </w:tc>
      </w:tr>
      <w:tr>
        <w:tc>
          <w:tcPr>
            <w:tcW w:type="dxa" w:w="576"/>
          </w:tcPr>
          <w:p/>
        </w:tc>
        <w:tc>
          <w:tcPr>
            <w:tcW w:type="dxa" w:w="4032"/>
          </w:tcPr>
          <w:p/>
        </w:tc>
        <w:tc>
          <w:tcPr>
            <w:tcW w:type="dxa" w:w="4176"/>
          </w:tcPr>
          <w:p/>
        </w:tc>
      </w:tr>
      <w:tr>
        <w:tc>
          <w:tcPr>
            <w:tcW w:type="dxa" w:w="576"/>
          </w:tcPr>
          <w:p/>
        </w:tc>
        <w:tc>
          <w:tcPr>
            <w:tcW w:type="dxa" w:w="4032"/>
          </w:tcPr>
          <w:p/>
        </w:tc>
        <w:tc>
          <w:tcPr>
            <w:tcW w:type="dxa" w:w="4176"/>
          </w:tcPr>
          <w:p/>
        </w:tc>
      </w:tr>
      <w:tr>
        <w:tc>
          <w:tcPr>
            <w:tcW w:type="dxa" w:w="576"/>
            <w:vAlign w:val="center"/>
          </w:tcPr>
          <w:p>
            <w:pPr>
              <w:jc w:val="center"/>
            </w:pPr>
            <w:r>
              <w:rPr>
                <w:sz w:val="18"/>
              </w:rPr>
              <w:t>Q1</w:t>
            </w:r>
          </w:p>
        </w:tc>
        <w:tc>
          <w:tcPr>
            <w:tcW w:type="dxa" w:w="4032"/>
            <w:vAlign w:val="center"/>
          </w:tcPr>
          <w:p>
            <w:pPr>
              <w:jc w:val="center"/>
            </w:pPr>
            <w:r>
              <w:rPr>
                <w:sz w:val="18"/>
              </w:rPr>
              <w:t>Default rate by loan grade</w:t>
            </w:r>
          </w:p>
        </w:tc>
        <w:tc>
          <w:tcPr>
            <w:tcW w:type="dxa" w:w="4176"/>
            <w:vAlign w:val="center"/>
          </w:tcPr>
          <w:p>
            <w:pPr>
              <w:jc w:val="center"/>
            </w:pPr>
            <w:r>
              <w:rPr>
                <w:sz w:val="18"/>
              </w:rPr>
              <w:t>GROUP BY, aggregation</w:t>
            </w:r>
          </w:p>
        </w:tc>
      </w:tr>
      <w:tr>
        <w:tc>
          <w:tcPr>
            <w:tcW w:type="dxa" w:w="576"/>
            <w:shd w:val="clear" w:color="auto" w:fill="EBF2FA"/>
            <w:vAlign w:val="center"/>
          </w:tcPr>
          <w:p>
            <w:pPr>
              <w:jc w:val="center"/>
            </w:pPr>
            <w:r>
              <w:rPr>
                <w:sz w:val="18"/>
              </w:rPr>
              <w:t>Q2</w:t>
            </w:r>
          </w:p>
        </w:tc>
        <w:tc>
          <w:tcPr>
            <w:tcW w:type="dxa" w:w="4032"/>
            <w:shd w:val="clear" w:color="auto" w:fill="EBF2FA"/>
            <w:vAlign w:val="center"/>
          </w:tcPr>
          <w:p>
            <w:pPr>
              <w:jc w:val="center"/>
            </w:pPr>
            <w:r>
              <w:rPr>
                <w:sz w:val="18"/>
              </w:rPr>
              <w:t>Top 10 states by volume &amp; default rate</w:t>
            </w:r>
          </w:p>
        </w:tc>
        <w:tc>
          <w:tcPr>
            <w:tcW w:type="dxa" w:w="4176"/>
            <w:shd w:val="clear" w:color="auto" w:fill="EBF2FA"/>
            <w:vAlign w:val="center"/>
          </w:tcPr>
          <w:p>
            <w:pPr>
              <w:jc w:val="center"/>
            </w:pPr>
            <w:r>
              <w:rPr>
                <w:sz w:val="18"/>
              </w:rPr>
              <w:t>GROUP BY, HAVING, ORDER BY</w:t>
            </w:r>
          </w:p>
        </w:tc>
      </w:tr>
      <w:tr>
        <w:tc>
          <w:tcPr>
            <w:tcW w:type="dxa" w:w="576"/>
            <w:vAlign w:val="center"/>
          </w:tcPr>
          <w:p>
            <w:pPr>
              <w:jc w:val="center"/>
            </w:pPr>
            <w:r>
              <w:rPr>
                <w:sz w:val="18"/>
              </w:rPr>
              <w:t>Q3</w:t>
            </w:r>
          </w:p>
        </w:tc>
        <w:tc>
          <w:tcPr>
            <w:tcW w:type="dxa" w:w="4032"/>
            <w:vAlign w:val="center"/>
          </w:tcPr>
          <w:p>
            <w:pPr>
              <w:jc w:val="center"/>
            </w:pPr>
            <w:r>
              <w:rPr>
                <w:sz w:val="18"/>
              </w:rPr>
              <w:t>Loan purpose risk ranking</w:t>
            </w:r>
          </w:p>
        </w:tc>
        <w:tc>
          <w:tcPr>
            <w:tcW w:type="dxa" w:w="4176"/>
            <w:vAlign w:val="center"/>
          </w:tcPr>
          <w:p>
            <w:pPr>
              <w:jc w:val="center"/>
            </w:pPr>
            <w:r>
              <w:rPr>
                <w:sz w:val="18"/>
              </w:rPr>
              <w:t>CASE labels, ORDER BY</w:t>
            </w:r>
          </w:p>
        </w:tc>
      </w:tr>
      <w:tr>
        <w:tc>
          <w:tcPr>
            <w:tcW w:type="dxa" w:w="576"/>
            <w:shd w:val="clear" w:color="auto" w:fill="EBF2FA"/>
            <w:vAlign w:val="center"/>
          </w:tcPr>
          <w:p>
            <w:pPr>
              <w:jc w:val="center"/>
            </w:pPr>
            <w:r>
              <w:rPr>
                <w:sz w:val="18"/>
              </w:rPr>
              <w:t>Q4</w:t>
            </w:r>
          </w:p>
        </w:tc>
        <w:tc>
          <w:tcPr>
            <w:tcW w:type="dxa" w:w="4032"/>
            <w:shd w:val="clear" w:color="auto" w:fill="EBF2FA"/>
            <w:vAlign w:val="center"/>
          </w:tcPr>
          <w:p>
            <w:pPr>
              <w:jc w:val="center"/>
            </w:pPr>
            <w:r>
              <w:rPr>
                <w:sz w:val="18"/>
              </w:rPr>
              <w:t>Year-over-year loan volume trend</w:t>
            </w:r>
          </w:p>
        </w:tc>
        <w:tc>
          <w:tcPr>
            <w:tcW w:type="dxa" w:w="4176"/>
            <w:shd w:val="clear" w:color="auto" w:fill="EBF2FA"/>
            <w:vAlign w:val="center"/>
          </w:tcPr>
          <w:p>
            <w:pPr>
              <w:jc w:val="center"/>
            </w:pPr>
            <w:r>
              <w:rPr>
                <w:sz w:val="18"/>
              </w:rPr>
              <w:t>Date functions, GROUP BY</w:t>
            </w:r>
          </w:p>
        </w:tc>
      </w:tr>
      <w:tr>
        <w:tc>
          <w:tcPr>
            <w:tcW w:type="dxa" w:w="576"/>
            <w:vAlign w:val="center"/>
          </w:tcPr>
          <w:p>
            <w:pPr>
              <w:jc w:val="center"/>
            </w:pPr>
            <w:r>
              <w:rPr>
                <w:sz w:val="18"/>
              </w:rPr>
              <w:t>Q5</w:t>
            </w:r>
          </w:p>
        </w:tc>
        <w:tc>
          <w:tcPr>
            <w:tcW w:type="dxa" w:w="4032"/>
            <w:vAlign w:val="center"/>
          </w:tcPr>
          <w:p>
            <w:pPr>
              <w:jc w:val="center"/>
            </w:pPr>
            <w:r>
              <w:rPr>
                <w:sz w:val="18"/>
              </w:rPr>
              <w:t>Income bracket default analysis</w:t>
            </w:r>
          </w:p>
        </w:tc>
        <w:tc>
          <w:tcPr>
            <w:tcW w:type="dxa" w:w="4176"/>
            <w:vAlign w:val="center"/>
          </w:tcPr>
          <w:p>
            <w:pPr>
              <w:jc w:val="center"/>
            </w:pPr>
            <w:r>
              <w:rPr>
                <w:sz w:val="18"/>
              </w:rPr>
              <w:t>CASE binning, GROUP BY</w:t>
            </w:r>
          </w:p>
        </w:tc>
      </w:tr>
      <w:tr>
        <w:tc>
          <w:tcPr>
            <w:tcW w:type="dxa" w:w="576"/>
            <w:shd w:val="clear" w:color="auto" w:fill="EBF2FA"/>
            <w:vAlign w:val="center"/>
          </w:tcPr>
          <w:p>
            <w:pPr>
              <w:jc w:val="center"/>
            </w:pPr>
            <w:r>
              <w:rPr>
                <w:sz w:val="18"/>
              </w:rPr>
              <w:t>Q6</w:t>
            </w:r>
          </w:p>
        </w:tc>
        <w:tc>
          <w:tcPr>
            <w:tcW w:type="dxa" w:w="4032"/>
            <w:shd w:val="clear" w:color="auto" w:fill="EBF2FA"/>
            <w:vAlign w:val="center"/>
          </w:tcPr>
          <w:p>
            <w:pPr>
              <w:jc w:val="center"/>
            </w:pPr>
            <w:r>
              <w:rPr>
                <w:sz w:val="18"/>
              </w:rPr>
              <w:t>Running total of loans issued</w:t>
            </w:r>
          </w:p>
        </w:tc>
        <w:tc>
          <w:tcPr>
            <w:tcW w:type="dxa" w:w="4176"/>
            <w:shd w:val="clear" w:color="auto" w:fill="EBF2FA"/>
            <w:vAlign w:val="center"/>
          </w:tcPr>
          <w:p>
            <w:pPr>
              <w:jc w:val="center"/>
            </w:pPr>
            <w:r>
              <w:rPr>
                <w:sz w:val="18"/>
              </w:rPr>
              <w:t>Window function: SUM() OVER</w:t>
            </w:r>
          </w:p>
        </w:tc>
      </w:tr>
      <w:tr>
        <w:tc>
          <w:tcPr>
            <w:tcW w:type="dxa" w:w="576"/>
            <w:vAlign w:val="center"/>
          </w:tcPr>
          <w:p>
            <w:pPr>
              <w:jc w:val="center"/>
            </w:pPr>
            <w:r>
              <w:rPr>
                <w:sz w:val="18"/>
              </w:rPr>
              <w:t>Q7</w:t>
            </w:r>
          </w:p>
        </w:tc>
        <w:tc>
          <w:tcPr>
            <w:tcW w:type="dxa" w:w="4032"/>
            <w:vAlign w:val="center"/>
          </w:tcPr>
          <w:p>
            <w:pPr>
              <w:jc w:val="center"/>
            </w:pPr>
            <w:r>
              <w:rPr>
                <w:sz w:val="18"/>
              </w:rPr>
              <w:t>High-risk vs low-risk borrower profile</w:t>
            </w:r>
          </w:p>
        </w:tc>
        <w:tc>
          <w:tcPr>
            <w:tcW w:type="dxa" w:w="4176"/>
            <w:vAlign w:val="center"/>
          </w:tcPr>
          <w:p>
            <w:pPr>
              <w:jc w:val="center"/>
            </w:pPr>
            <w:r>
              <w:rPr>
                <w:sz w:val="18"/>
              </w:rPr>
              <w:t>CTE, UNION ALL</w:t>
            </w:r>
          </w:p>
        </w:tc>
      </w:tr>
      <w:tr>
        <w:tc>
          <w:tcPr>
            <w:tcW w:type="dxa" w:w="576"/>
            <w:shd w:val="clear" w:color="auto" w:fill="EBF2FA"/>
            <w:vAlign w:val="center"/>
          </w:tcPr>
          <w:p>
            <w:pPr>
              <w:jc w:val="center"/>
            </w:pPr>
            <w:r>
              <w:rPr>
                <w:sz w:val="18"/>
              </w:rPr>
              <w:t>Q8</w:t>
            </w:r>
          </w:p>
        </w:tc>
        <w:tc>
          <w:tcPr>
            <w:tcW w:type="dxa" w:w="4032"/>
            <w:shd w:val="clear" w:color="auto" w:fill="EBF2FA"/>
            <w:vAlign w:val="center"/>
          </w:tcPr>
          <w:p>
            <w:pPr>
              <w:jc w:val="center"/>
            </w:pPr>
            <w:r>
              <w:rPr>
                <w:sz w:val="18"/>
              </w:rPr>
              <w:t>DTI bucket analysis</w:t>
            </w:r>
          </w:p>
        </w:tc>
        <w:tc>
          <w:tcPr>
            <w:tcW w:type="dxa" w:w="4176"/>
            <w:shd w:val="clear" w:color="auto" w:fill="EBF2FA"/>
            <w:vAlign w:val="center"/>
          </w:tcPr>
          <w:p>
            <w:pPr>
              <w:jc w:val="center"/>
            </w:pPr>
            <w:r>
              <w:rPr>
                <w:sz w:val="18"/>
              </w:rPr>
              <w:t>CASE, GROUP BY, HAVING</w:t>
            </w:r>
          </w:p>
        </w:tc>
      </w:tr>
      <w:tr>
        <w:tc>
          <w:tcPr>
            <w:tcW w:type="dxa" w:w="576"/>
            <w:vAlign w:val="center"/>
          </w:tcPr>
          <w:p>
            <w:pPr>
              <w:jc w:val="center"/>
            </w:pPr>
            <w:r>
              <w:rPr>
                <w:sz w:val="18"/>
              </w:rPr>
              <w:t>Q9</w:t>
            </w:r>
          </w:p>
        </w:tc>
        <w:tc>
          <w:tcPr>
            <w:tcW w:type="dxa" w:w="4032"/>
            <w:vAlign w:val="center"/>
          </w:tcPr>
          <w:p>
            <w:pPr>
              <w:jc w:val="center"/>
            </w:pPr>
            <w:r>
              <w:rPr>
                <w:sz w:val="18"/>
              </w:rPr>
              <w:t>Grade x Purpose default rate matrix</w:t>
            </w:r>
          </w:p>
        </w:tc>
        <w:tc>
          <w:tcPr>
            <w:tcW w:type="dxa" w:w="4176"/>
            <w:vAlign w:val="center"/>
          </w:tcPr>
          <w:p>
            <w:pPr>
              <w:jc w:val="center"/>
            </w:pPr>
            <w:r>
              <w:rPr>
                <w:sz w:val="18"/>
              </w:rPr>
              <w:t>2D GROUP BY, pivot heatmap</w:t>
            </w:r>
          </w:p>
        </w:tc>
      </w:tr>
    </w:tbl>
    <w:p>
      <w:pPr>
        <w:spacing w:after="120"/>
      </w:pPr>
    </w:p>
    <w:tbl>
      <w:tblPr>
        <w:tblStyle w:val="TableGrid"/>
        <w:tblW w:type="auto" w:w="0"/>
        <w:tblLook w:firstColumn="1" w:firstRow="1" w:lastColumn="0" w:lastRow="0" w:noHBand="0" w:noVBand="1" w:val="04A0"/>
      </w:tblPr>
      <w:tblGrid>
        <w:gridCol w:w="8640"/>
      </w:tblGrid>
      <w:tr>
        <w:tc>
          <w:tcPr>
            <w:tcW w:type="dxa" w:w="8640"/>
            <w:shd w:val="clear" w:color="auto" w:fill="2C3E50"/>
          </w:tcPr>
          <w:p>
            <w:pPr>
              <w:spacing w:before="80" w:after="80"/>
            </w:pPr>
            <w:r>
              <w:rPr>
                <w:b/>
                <w:color w:val="FFFFFF"/>
                <w:sz w:val="18"/>
              </w:rPr>
              <w:t xml:space="preserve">SQL + ML:  </w:t>
            </w:r>
            <w:r>
              <w:rPr>
                <w:color w:val="FFFFFF"/>
                <w:sz w:val="18"/>
              </w:rPr>
              <w:t>SQL analysis delivers business answers in seconds on the same dataset that took hours to model. It complements machine learning by providing transparent, auditable, rule-based insights that any stakeholder can verify and trust.</w:t>
            </w:r>
          </w:p>
        </w:tc>
      </w:tr>
    </w:tbl>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