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2f2e96eb7734703" /><Relationship Type="http://schemas.openxmlformats.org/package/2006/relationships/metadata/core-properties" Target="/docProps/core.xml" Id="R7d97019a89344694" /><Relationship Type="http://schemas.openxmlformats.org/officeDocument/2006/relationships/extended-properties" Target="/docProps/app.xml" Id="R8a2c393516bd43f4" /><Relationship Type="http://schemas.openxmlformats.org/officeDocument/2006/relationships/custom-properties" Target="/docProps/custom.xml" Id="Rb8ef42b9b0c54009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spacing w:after="80"/>
      </w:pPr>
      <w:r>
        <w:rPr>
          <w:color w:val="34D399"/>
          <w:sz w:val="20"/>
        </w:rPr>
        <w:t xml:space="preserve">IBM Qiskit Fall Fest 2026  ·  Quantum for Humanity Org</w:t>
      </w:r>
    </w:p>
    <w:p w14:paraId="00100002" w14:textId="00100003">
      <w:pPr>
        <w:pStyle w:val="Heading1"/>
        <w:spacing w:after="160"/>
      </w:pPr>
      <w:r>
        <w:rPr>
          <w:b/>
          <w:sz w:val="48"/>
        </w:rPr>
        <w:t xml:space="preserve">Day 3 — Quantum for Humanity: Impact Applications</w:t>
      </w:r>
    </w:p>
    <w:p w14:paraId="00100004" w14:textId="00100005">
      <w:pPr>
        <w:spacing w:after="320"/>
      </w:pPr>
      <w:r>
        <w:rPr>
          <w:color w:val="8888AA"/>
          <w:sz w:val="22"/>
        </w:rPr>
        <w:t xml:space="preserve">November 18, 2026  ·  Impact → Ethics  ·  Quantum for Humanity Org × IBM Quantum</w:t>
      </w:r>
    </w:p>
    <w:p w14:paraId="00100006" w14:textId="00100007">
      <w:pPr>
        <w:pStyle w:val="Heading2"/>
        <w:spacing w:before="280" w:after="120"/>
      </w:pPr>
      <w:r>
        <w:rPr>
          <w:b/>
          <w:sz w:val="32"/>
        </w:rPr>
        <w:t xml:space="preserve">1. Quantum for Humanity — Vision</w:t>
      </w:r>
    </w:p>
    <w:p w14:paraId="00100008" w14:textId="00100009">
      <w:pPr>
        <w:spacing w:after="240"/>
      </w:pPr>
      <w:r>
        <w:rPr>
          <w:sz w:val="22"/>
        </w:rPr>
        <w:t xml:space="preserve">The Quantum for Humanity framework aligns quantum computing with the UN Sustainable Development Goals (SDGs): SDG 3 (Good Health — drug discovery), SDG 2 (Zero Hunger — nitrogen fixation, agriculture), SDG 6 (Clean Water — sensing, optimisation), SDG 7 (Clean Energy — battery chemistry), SDG 10 (Reduced Inequalities — financial inclusion), SDG 13 (Climate Action — materials, logistics). IBM's 2023 quantum utility demonstration (Kim et al., Nature 2023) marks the transition to practical value creation.</w:t>
      </w:r>
    </w:p>
    <w:p w14:paraId="0010000A" w14:textId="0010000B">
      <w:pPr>
        <w:pStyle w:val="Heading2"/>
        <w:spacing w:before="280" w:after="120"/>
      </w:pPr>
      <w:r>
        <w:rPr>
          <w:b/>
          <w:sz w:val="32"/>
        </w:rPr>
        <w:t xml:space="preserve">2. Quantum Simulation for Drug Discovery</w:t>
      </w:r>
    </w:p>
    <w:p w14:paraId="0010000C" w14:textId="0010000D">
      <w:pPr>
        <w:spacing w:after="240"/>
      </w:pPr>
      <w:r>
        <w:rPr>
          <w:sz w:val="22"/>
        </w:rPr>
        <w:t xml:space="preserve">Classical molecular simulation fails for strongly correlated electrons: Full CI requires 2ᴺ parameters (N=50 → 2⁵⁰ ≈ 10¹⁵). VQE (Variational Quantum Eigensolver) uses the variational principle: ⟨ψ(θ)|H|ψ(θ)⟩ ≥ E₀, minimised over circuit parameters θ to find ground state energy. TB drug target InhA and malaria enzyme DHFR are near-term VQE targets. IBM Research's Sample-then-Diagonalize (STD) method (Robledo-Moreno et al., 2024) is a leading near-term approach.</w:t>
      </w:r>
    </w:p>
    <w:p w14:paraId="0010000E" w14:textId="0010000F">
      <w:pPr>
        <w:pStyle w:val="Heading2"/>
        <w:spacing w:before="280" w:after="120"/>
      </w:pPr>
      <w:r>
        <w:rPr>
          <w:b/>
          <w:sz w:val="32"/>
        </w:rPr>
        <w:t xml:space="preserve">3. Quantum for Agriculture &amp; Water Security</w:t>
      </w:r>
    </w:p>
    <w:p w14:paraId="00100010" w14:textId="00100011">
      <w:pPr>
        <w:spacing w:after="240"/>
      </w:pPr>
      <w:r>
        <w:rPr>
          <w:sz w:val="22"/>
        </w:rPr>
        <w:t xml:space="preserve">Nitrogen fixation (FeMo-co active site, 54 electrons in 54 orbitals) requires a fault-tolerant quantum computer (~200 logical qubits, ~2030+). Haber-Bosch currently uses 1-2% of global energy. QAOA solves irrigation scheduling as QUBO: maximise crop yield subject to water budget constraints. Quantum sensing (NV-centres, quantum gravimetry) enables sub-centimetre aquifer detection and soil nutrient analysis.</w:t>
      </w:r>
    </w:p>
    <w:p w14:paraId="00100012" w14:textId="00100013">
      <w:pPr>
        <w:pStyle w:val="Heading2"/>
        <w:spacing w:before="280" w:after="120"/>
      </w:pPr>
      <w:r>
        <w:rPr>
          <w:b/>
          <w:sz w:val="32"/>
        </w:rPr>
        <w:t xml:space="preserve">4. Quantum Finance &amp; Financial Inclusion</w:t>
      </w:r>
    </w:p>
    <w:p w14:paraId="00100014" w14:textId="00100015">
      <w:pPr>
        <w:spacing w:after="240"/>
      </w:pPr>
      <w:r>
        <w:rPr>
          <w:sz w:val="22"/>
        </w:rPr>
        <w:t xml:space="preserve">Quantum Monte Carlo for option pricing delivers O(1/ε) queries vs classical O(1/ε²) — quadratic speedup. QAOA for portfolio optimisation solves Markowitz as QUBO. 2.5 billion unbanked adults globally — quantum kernel SVMs on alternative data (mobile, utility bills) enable fair credit scoring. QKD-secured mobile banking protects financial transactions in regions with weak cybersecurity.</w:t>
      </w:r>
    </w:p>
    <w:p w14:paraId="00100016" w14:textId="00100017">
      <w:pPr>
        <w:pStyle w:val="Heading2"/>
        <w:spacing w:before="280" w:after="120"/>
      </w:pPr>
      <w:r>
        <w:rPr>
          <w:b/>
          <w:sz w:val="32"/>
        </w:rPr>
        <w:t xml:space="preserve">5. Responsible Quantum Innovation</w:t>
      </w:r>
    </w:p>
    <w:p w14:paraId="00100018" w14:textId="00100019">
      <w:pPr>
        <w:spacing w:after="240"/>
      </w:pPr>
      <w:r>
        <w:rPr>
          <w:sz w:val="22"/>
        </w:rPr>
        <w:t xml:space="preserve">HNDL (Harvest Now, Decrypt Later): nation-states storing encrypted data today to decrypt with future quantum computers. All data with 10+ year secrecy must be migrated to NIST PQC standards NOW (CRYSTALS-Kyber, Dilithium, FALCON, SPHINCS+). Policy gap: only 6 of 195 countries have national quantum strategies. India NQM (₹6,000 Cr), US NQI ($1.8B), EU Flagship (€1B). Blind quantum computing (Broadbent et al., 2009) enables privacy-preserving quantum cloud computing.</w:t>
      </w:r>
    </w:p>
    <w:p w14:paraId="0010001A" w14:textId="0010001B">
      <w:pPr>
        <w:pStyle w:val="Heading2"/>
        <w:spacing w:before="280" w:after="120"/>
      </w:pPr>
      <w:r>
        <w:rPr>
          <w:b/>
          <w:sz w:val="32"/>
        </w:rPr>
        <w:t xml:space="preserve">References</w:t>
      </w:r>
    </w:p>
    <w:p w14:paraId="0010001C" w14:textId="0010001D">
      <w:pPr>
        <w:numPr>
          <w:ilvl w:val="0"/>
          <w:numId w:val="1"/>
        </w:numPr>
        <w:spacing w:after="80"/>
      </w:pPr>
      <w:r>
        <w:rPr>
          <w:sz w:val="20"/>
        </w:rPr>
        <w:t xml:space="preserve">[1] Kim, Y. et al. Evidence for the utility of quantum computing. Nature 618, 500–505, 2023.</w:t>
      </w:r>
    </w:p>
    <w:p w14:paraId="0010001E" w14:textId="0010001F">
      <w:pPr>
        <w:numPr>
          <w:ilvl w:val="0"/>
          <w:numId w:val="1"/>
        </w:numPr>
        <w:spacing w:after="80"/>
      </w:pPr>
      <w:r>
        <w:rPr>
          <w:sz w:val="20"/>
        </w:rPr>
        <w:t xml:space="preserve">[2] Reiher, M. et al. Elucidating reaction mechanisms on quantum computers. PNAS 114, 7555–7560, 2017.</w:t>
      </w:r>
    </w:p>
    <w:p w14:paraId="00100020" w14:textId="00100021">
      <w:pPr>
        <w:numPr>
          <w:ilvl w:val="0"/>
          <w:numId w:val="1"/>
        </w:numPr>
        <w:spacing w:after="80"/>
      </w:pPr>
      <w:r>
        <w:rPr>
          <w:sz w:val="20"/>
        </w:rPr>
        <w:t xml:space="preserve">[3] Robledo-Moreno, J. et al. Chemistry beyond exact solutions. arXiv:2405.05068, 2024.</w:t>
      </w:r>
    </w:p>
    <w:p w14:paraId="00100022" w14:textId="00100023">
      <w:pPr>
        <w:numPr>
          <w:ilvl w:val="0"/>
          <w:numId w:val="1"/>
        </w:numPr>
        <w:spacing w:after="80"/>
      </w:pPr>
      <w:r>
        <w:rPr>
          <w:sz w:val="20"/>
        </w:rPr>
        <w:t xml:space="preserve">[4] Stamatopoulos, N. et al. Option Pricing using Quantum Computers. Quantum 4, 291, 2020.</w:t>
      </w:r>
    </w:p>
    <w:p w14:paraId="00100024" w14:textId="00100025">
      <w:pPr>
        <w:numPr>
          <w:ilvl w:val="0"/>
          <w:numId w:val="1"/>
        </w:numPr>
        <w:spacing w:after="80"/>
      </w:pPr>
      <w:r>
        <w:rPr>
          <w:sz w:val="20"/>
        </w:rPr>
        <w:t xml:space="preserve">[5] NIST. Post-Quantum Cryptography Standards. FIPS 203, 204, 205. csrc.nist.gov, 2024.</w:t>
      </w:r>
    </w:p>
    <w:p w14:paraId="00100026" w14:textId="00100027">
      <w:pPr>
        <w:numPr>
          <w:ilvl w:val="0"/>
          <w:numId w:val="1"/>
        </w:numPr>
        <w:spacing w:after="80"/>
      </w:pPr>
      <w:r>
        <w:rPr>
          <w:sz w:val="20"/>
        </w:rPr>
        <w:t xml:space="preserve">[6] Broadbent, A. et al. Universal Blind Quantum Computation. FOCS 2009. arXiv:0807.4154</w:t>
      </w:r>
    </w:p>
    <w:p w14:paraId="00100028" w14:textId="00100029">
      <w:pPr>
        <w:numPr>
          <w:ilvl w:val="0"/>
          <w:numId w:val="1"/>
        </w:numPr>
        <w:spacing w:after="80"/>
      </w:pPr>
      <w:r>
        <w:rPr>
          <w:sz w:val="20"/>
        </w:rPr>
        <w:t xml:space="preserve">[7] UN SDGs. 17 Goals to Transform Our World. sdgs.un.org, 2015.</w:t>
      </w:r>
    </w:p>
    <w:p w14:paraId="0010002A" w14:textId="0010002B">
      <w:pPr>
        <w:numPr>
          <w:ilvl w:val="0"/>
          <w:numId w:val="1"/>
        </w:numPr>
        <w:spacing w:after="80"/>
      </w:pPr>
      <w:r>
        <w:rPr>
          <w:sz w:val="20"/>
        </w:rPr>
        <w:t xml:space="preserve">[8] India National Quantum Mission. Department of Science &amp; Technology, Govt of India, 2023.</w:t>
      </w:r>
    </w:p>
    <w:p w14:paraId="0010002C" w14:textId="0010002D">
      <w:pPr>
        <w:numPr>
          <w:ilvl w:val="0"/>
          <w:numId w:val="1"/>
        </w:numPr>
        <w:spacing w:after="80"/>
      </w:pPr>
      <w:r>
        <w:rPr>
          <w:sz w:val="20"/>
        </w:rPr>
        <w:t xml:space="preserve">[9] McKinsey Global Institute. Quantum Technology Monitor. McKinsey, 2021.</w:t>
      </w:r>
    </w:p>
    <w:p w14:paraId="0010002E" w14:textId="0010002F">
      <w:pPr>
        <w:numPr>
          <w:ilvl w:val="0"/>
          <w:numId w:val="1"/>
        </w:numPr>
        <w:spacing w:after="320"/>
      </w:pPr>
      <w:r>
        <w:rPr>
          <w:sz w:val="20"/>
        </w:rPr>
        <w:t xml:space="preserve">[10] IBM Quantum Learning. Quantum Chemistry with Qiskit Nature. learning.quantum.ibm.com, 2024.</w:t>
      </w:r>
    </w:p>
    <w:p w14:paraId="00100030" w14:textId="00100031">
      <w:pPr>
        <w:spacing w:after="80"/>
      </w:pPr>
      <w:r>
        <w:rPr>
          <w:color w:val="8888AA"/>
          <w:sz w:val="18"/>
        </w:rPr>
        <w:t xml:space="preserve">IBM Qiskit Fall Fest 2026  ·  Quantum for Humanity Org  ·  Day 3 Study Guide  ·  November 18, 2026</w:t>
      </w:r>
    </w:p>
    <w:p w14:paraId="00100032" w14:textId="00100033">
      <w:pPr>
        <w:spacing w:after="80"/>
      </w:pPr>
      <w:r>
        <w:rPr>
          <w:color w:val="8888AA"/>
          <w:sz w:val="18"/>
        </w:rPr>
        <w:t xml:space="preserve">Content based on IBM Quantum Learning (CC BY 4.0). Independent community event — not an official IBM publication.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ef2d7b00e2340bf" /><Relationship Type="http://schemas.openxmlformats.org/officeDocument/2006/relationships/styles" Target="/word/styles.xml" Id="R1ca03d1acc0440c9" /><Relationship Type="http://schemas.openxmlformats.org/officeDocument/2006/relationships/theme" Target="/word/theme/theme1.xml" Id="R4a1c5f83fd0f4413" /><Relationship Type="http://schemas.openxmlformats.org/officeDocument/2006/relationships/numbering" Target="/word/numbering.xml" Id="Rd65eb411255a486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2026-09-09T15:09:23Z</dcterms:created>
  <cp:lastModifiedBy>OfficeCLI</cp:lastModifiedBy>
  <dcterms:modified xsi:type="dcterms:W3CDTF">2026-09-09T15:09:23Z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2026-09-09T15:09:25Z</vt:lpwstr>
  </op:property>
</op:Properties>
</file>