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f5e964380e8447a" /><Relationship Type="http://schemas.openxmlformats.org/package/2006/relationships/metadata/core-properties" Target="/docProps/core.xml" Id="R27b20e9e1c264b4a" /><Relationship Type="http://schemas.openxmlformats.org/officeDocument/2006/relationships/extended-properties" Target="/docProps/app.xml" Id="R0a0ed988b62e4471" /><Relationship Type="http://schemas.openxmlformats.org/officeDocument/2006/relationships/custom-properties" Target="/docProps/custom.xml" Id="R347d256264a94ac2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pacing w:after="80"/>
      </w:pPr>
      <w:r>
        <w:rPr>
          <w:color w:val="FF7EB6"/>
          <w:sz w:val="20"/>
        </w:rPr>
        <w:t xml:space="preserve">IBM Qiskit Fall Fest 2026  ·  Quantum for Humanity Org</w:t>
      </w:r>
    </w:p>
    <w:p w14:paraId="00100002" w14:textId="00100003">
      <w:pPr>
        <w:pStyle w:val="Heading1"/>
        <w:spacing w:after="160"/>
      </w:pPr>
      <w:r>
        <w:rPr>
          <w:b/>
          <w:sz w:val="48"/>
        </w:rPr>
        <w:t xml:space="preserve">Day 4 — Advanced QEC, VQE/QAOA &amp; Quantum Networks</w:t>
      </w:r>
    </w:p>
    <w:p w14:paraId="00100004" w14:textId="00100005">
      <w:pPr>
        <w:spacing w:after="320"/>
      </w:pPr>
      <w:r>
        <w:rPr>
          <w:color w:val="8888AA"/>
          <w:sz w:val="22"/>
        </w:rPr>
        <w:t xml:space="preserve">November 19, 2026  ·  Advanced → Research  ·  IBM Quantum × Quantum for Humanity</w:t>
      </w:r>
    </w:p>
    <w:p w14:paraId="00100006" w14:textId="00100007">
      <w:pPr>
        <w:pStyle w:val="Heading2"/>
        <w:spacing w:before="280" w:after="120"/>
      </w:pPr>
      <w:r>
        <w:rPr>
          <w:b/>
          <w:sz w:val="32"/>
        </w:rPr>
        <w:t xml:space="preserve">1. Quantum Error Correction Foundations</w:t>
      </w:r>
    </w:p>
    <w:p w14:paraId="00100008" w14:textId="00100009">
      <w:pPr>
        <w:spacing w:after="240"/>
      </w:pPr>
      <w:r>
        <w:rPr>
          <w:sz w:val="22"/>
        </w:rPr>
        <w:t xml:space="preserve">QEC is possible despite the no-cloning theorem because we spread entanglement (not copy) across multiple physical qubits. Errors are detected via syndrome measurements — parity checks that reveal error information without collapsing the logical qubit. Code hierarchy: 3-qubit bit-flip [[3,1,1]] (bit-flip only), Shor [[9,1,3]] (all errors), Steane [[7,1,3]] (all errors, fewer qubits), Surface code (dominant scalable approach). Threshold Theorem: if p &lt; p_th (~1%), P_logical → 0 exponentially with code distance.</w:t>
      </w:r>
    </w:p>
    <w:p w14:paraId="0010000A" w14:textId="0010000B">
      <w:pPr>
        <w:pStyle w:val="Heading2"/>
        <w:spacing w:before="280" w:after="120"/>
      </w:pPr>
      <w:r>
        <w:rPr>
          <w:b/>
          <w:sz w:val="32"/>
        </w:rPr>
        <w:t xml:space="preserve">2. The Surface Code &amp; IBM's Path to Fault Tolerance</w:t>
      </w:r>
    </w:p>
    <w:p w14:paraId="0010000C" w14:textId="0010000D">
      <w:pPr>
        <w:spacing w:after="240"/>
      </w:pPr>
      <w:r>
        <w:rPr>
          <w:sz w:val="22"/>
        </w:rPr>
        <w:t xml:space="preserve">Surface code distance d encodes 1 logical qubit in d² physical qubits, corrects ⌊(d-1)/2⌋ errors. P_logical ≈ A·(p/p_th)^⌈d/2⌉. IBM 2024: distance-5 surface code (25 physical qubits) achieved break-even — logical error rate below physical error rate — using Heron r2. IBM 2026 target: ~100 logical qubits (Kookaburra, 4158Q). IBM 2033 target: 100,000 physical qubits, ~100 logical qubits at 10⁻¹⁰ error rate. Magic state distillation produces fault-tolerant T gates: ~15 noisy states → 1 high-fidelity state.</w:t>
      </w:r>
    </w:p>
    <w:p w14:paraId="0010000E" w14:textId="0010000F">
      <w:pPr>
        <w:pStyle w:val="Heading2"/>
        <w:spacing w:before="280" w:after="120"/>
      </w:pPr>
      <w:r>
        <w:rPr>
          <w:b/>
          <w:sz w:val="32"/>
        </w:rPr>
        <w:t xml:space="preserve">3. VQE — Variational Quantum Eigensolver</w:t>
      </w:r>
    </w:p>
    <w:p w14:paraId="00100010" w14:textId="00100011">
      <w:pPr>
        <w:spacing w:after="240"/>
      </w:pPr>
      <w:r>
        <w:rPr>
          <w:sz w:val="22"/>
        </w:rPr>
        <w:t xml:space="preserve">VQE (Peruzzo et al., 2014): hybrid quantum-classical algorithm for ground state energies. Variational principle: ⟨ψ(θ)|H|ψ(θ)⟩ ≥ E₀. Minimise over circuit parameters θ using gradient descent or gradient-free optimisers. Ansatz strategies: UCCSD (chemistry-motivated, deep but accurate), Hardware-Efficient Ansatz (HEA, shallow, noise-tolerant), ADAPT-VQE (compact, adaptive). Gradients via parameter-shift rule (exact, hardware-native). Barren plateau challenge: use structured ansätze and local cost functions.</w:t>
      </w:r>
    </w:p>
    <w:p w14:paraId="00100012" w14:textId="00100013">
      <w:pPr>
        <w:pStyle w:val="Heading2"/>
        <w:spacing w:before="280" w:after="120"/>
      </w:pPr>
      <w:r>
        <w:rPr>
          <w:b/>
          <w:sz w:val="32"/>
        </w:rPr>
        <w:t xml:space="preserve">4. QAOA — Quantum Approximate Optimisation</w:t>
      </w:r>
    </w:p>
    <w:p w14:paraId="00100014" w14:textId="00100015">
      <w:pPr>
        <w:spacing w:after="240"/>
      </w:pPr>
      <w:r>
        <w:rPr>
          <w:sz w:val="22"/>
        </w:rPr>
        <w:t xml:space="preserve">QAOA (Farhi et al., 2014): alternates cost Hamiltonian U_C(γ) (encodes objective) and mixer U_B(β) (explores search space) for p layers. As p→∞, QAOA converges to exact optimal via adiabatic theorem. p=1: provable 0.6924 approximation ratio for MAX-CUT on 3-regular graphs. Applications: logistics (VRP), portfolio optimisation, molecular docking, water allocation, crop scheduling. All formulated as QUBO (Quadratic Unconstrained Binary Optimisation).</w:t>
      </w:r>
    </w:p>
    <w:p w14:paraId="00100016" w14:textId="00100017">
      <w:pPr>
        <w:pStyle w:val="Heading2"/>
        <w:spacing w:before="280" w:after="120"/>
      </w:pPr>
      <w:r>
        <w:rPr>
          <w:b/>
          <w:sz w:val="32"/>
        </w:rPr>
        <w:t xml:space="preserve">5. Quantum Networking &amp; QKD</w:t>
      </w:r>
    </w:p>
    <w:p w14:paraId="00100018" w14:textId="00100019">
      <w:pPr>
        <w:spacing w:after="240"/>
      </w:pPr>
      <w:r>
        <w:rPr>
          <w:sz w:val="22"/>
        </w:rPr>
        <w:t xml:space="preserve">Quantum repeaters use entanglement swapping to extend QKD range (cannot amplify quantum signals — no-cloning). BB84 (Bennett &amp; Brassard, 1984): random bits + random bases; sifting removes mismatched-basis measurements; QBER check detects eavesdropping; unconditionally secure at QBER &lt;11%. NIST 2024 post-quantum standards: CRYSTALS-Kyber (FIPS 203, KEM), Dilithium (FIPS 204), FALCON (FIPS 206), SPHINCS+ (FIPS 205). All based on lattice or hash problems believed quantum-resistant.</w:t>
      </w:r>
    </w:p>
    <w:p w14:paraId="0010001A" w14:textId="0010001B">
      <w:pPr>
        <w:pStyle w:val="Heading2"/>
        <w:spacing w:before="280" w:after="120"/>
      </w:pPr>
      <w:r>
        <w:rPr>
          <w:b/>
          <w:sz w:val="32"/>
        </w:rPr>
        <w:t xml:space="preserve">References</w:t>
      </w:r>
    </w:p>
    <w:p w14:paraId="0010001C" w14:textId="0010001D">
      <w:pPr>
        <w:numPr>
          <w:ilvl w:val="0"/>
          <w:numId w:val="1"/>
        </w:numPr>
        <w:spacing w:after="80"/>
      </w:pPr>
      <w:r>
        <w:rPr>
          <w:sz w:val="20"/>
        </w:rPr>
        <w:t xml:space="preserve">[1] Fowler, A.G. et al. Surface codes: Towards practical large-scale quantum computation. PRA 86, 032324, 2012.</w:t>
      </w:r>
    </w:p>
    <w:p w14:paraId="0010001E" w14:textId="0010001F">
      <w:pPr>
        <w:numPr>
          <w:ilvl w:val="0"/>
          <w:numId w:val="1"/>
        </w:numPr>
        <w:spacing w:after="80"/>
      </w:pPr>
      <w:r>
        <w:rPr>
          <w:sz w:val="20"/>
        </w:rPr>
        <w:t xml:space="preserve">[2] Peruzzo, A. et al. A variational eigenvalue solver on a photonic quantum processor. Nat. Comms 5, 4213, 2014.</w:t>
      </w:r>
    </w:p>
    <w:p w14:paraId="00100020" w14:textId="00100021">
      <w:pPr>
        <w:numPr>
          <w:ilvl w:val="0"/>
          <w:numId w:val="1"/>
        </w:numPr>
        <w:spacing w:after="80"/>
      </w:pPr>
      <w:r>
        <w:rPr>
          <w:sz w:val="20"/>
        </w:rPr>
        <w:t xml:space="preserve">[3] Farhi, E., Goldstone, J. &amp; Gutmann, S. A Quantum Approximate Optimization Algorithm. arXiv:1411.4028, 2014.</w:t>
      </w:r>
    </w:p>
    <w:p w14:paraId="00100022" w14:textId="00100023">
      <w:pPr>
        <w:numPr>
          <w:ilvl w:val="0"/>
          <w:numId w:val="1"/>
        </w:numPr>
        <w:spacing w:after="80"/>
      </w:pPr>
      <w:r>
        <w:rPr>
          <w:sz w:val="20"/>
        </w:rPr>
        <w:t xml:space="preserve">[4] Shor, P.W. Fault-tolerant quantum computation. FOCS 1996. arXiv:quant-ph/9605011</w:t>
      </w:r>
    </w:p>
    <w:p w14:paraId="00100024" w14:textId="00100025">
      <w:pPr>
        <w:numPr>
          <w:ilvl w:val="0"/>
          <w:numId w:val="1"/>
        </w:numPr>
        <w:spacing w:after="80"/>
      </w:pPr>
      <w:r>
        <w:rPr>
          <w:sz w:val="20"/>
        </w:rPr>
        <w:t xml:space="preserve">[5] Steane, A.M. Error Correcting Codes in Quantum Theory. PRL 77, 793, 1996.</w:t>
      </w:r>
    </w:p>
    <w:p w14:paraId="00100026" w14:textId="00100027">
      <w:pPr>
        <w:numPr>
          <w:ilvl w:val="0"/>
          <w:numId w:val="1"/>
        </w:numPr>
        <w:spacing w:after="80"/>
      </w:pPr>
      <w:r>
        <w:rPr>
          <w:sz w:val="20"/>
        </w:rPr>
        <w:t xml:space="preserve">[6] Bennett, C.H. &amp; Brassard, G. Quantum cryptography: BB84. Proc. IEEE ICCSSP, 1984.</w:t>
      </w:r>
    </w:p>
    <w:p w14:paraId="00100028" w14:textId="00100029">
      <w:pPr>
        <w:numPr>
          <w:ilvl w:val="0"/>
          <w:numId w:val="1"/>
        </w:numPr>
        <w:spacing w:after="80"/>
      </w:pPr>
      <w:r>
        <w:rPr>
          <w:sz w:val="20"/>
        </w:rPr>
        <w:t xml:space="preserve">[7] NIST. Post-Quantum Cryptography Standards. FIPS 203, 204, 205, 206. 2024.</w:t>
      </w:r>
    </w:p>
    <w:p w14:paraId="0010002A" w14:textId="0010002B">
      <w:pPr>
        <w:numPr>
          <w:ilvl w:val="0"/>
          <w:numId w:val="1"/>
        </w:numPr>
        <w:spacing w:after="80"/>
      </w:pPr>
      <w:r>
        <w:rPr>
          <w:sz w:val="20"/>
        </w:rPr>
        <w:t xml:space="preserve">[8] Cerezo, M. et al. Variational quantum algorithms. Nature Reviews Physics 3, 625–644, 2021.</w:t>
      </w:r>
    </w:p>
    <w:p w14:paraId="0010002C" w14:textId="0010002D">
      <w:pPr>
        <w:numPr>
          <w:ilvl w:val="0"/>
          <w:numId w:val="1"/>
        </w:numPr>
        <w:spacing w:after="80"/>
      </w:pPr>
      <w:r>
        <w:rPr>
          <w:sz w:val="20"/>
        </w:rPr>
        <w:t xml:space="preserve">[9] IBM Research. IBM Quantum Development Roadmap. ibm.com/quantum/roadmap, 2024.</w:t>
      </w:r>
    </w:p>
    <w:p w14:paraId="0010002E" w14:textId="0010002F">
      <w:pPr>
        <w:numPr>
          <w:ilvl w:val="0"/>
          <w:numId w:val="1"/>
        </w:numPr>
        <w:spacing w:after="320"/>
      </w:pPr>
      <w:r>
        <w:rPr>
          <w:sz w:val="20"/>
        </w:rPr>
        <w:t xml:space="preserve">[10] Quantum Internet Alliance. A Quantum Internet Vision. quantum-internet.team, 2020.</w:t>
      </w:r>
    </w:p>
    <w:p w14:paraId="00100030" w14:textId="00100031">
      <w:pPr>
        <w:spacing w:after="80"/>
      </w:pPr>
      <w:r>
        <w:rPr>
          <w:color w:val="8888AA"/>
          <w:sz w:val="18"/>
        </w:rPr>
        <w:t xml:space="preserve">IBM Qiskit Fall Fest 2026  ·  Quantum for Humanity Org  ·  Day 4 Study Guide  ·  November 19, 2026</w:t>
      </w:r>
    </w:p>
    <w:p w14:paraId="00100032" w14:textId="00100033">
      <w:pPr>
        <w:spacing w:after="80"/>
      </w:pPr>
      <w:r>
        <w:rPr>
          <w:color w:val="8888AA"/>
          <w:sz w:val="18"/>
        </w:rPr>
        <w:t xml:space="preserve">Content based on IBM Quantum Learning (CC BY 4.0). Independent community event — not an official IBM publication.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65416afe0934f66" /><Relationship Type="http://schemas.openxmlformats.org/officeDocument/2006/relationships/styles" Target="/word/styles.xml" Id="R099f8ffc348340d3" /><Relationship Type="http://schemas.openxmlformats.org/officeDocument/2006/relationships/theme" Target="/word/theme/theme1.xml" Id="R352b4026f54346a6" /><Relationship Type="http://schemas.openxmlformats.org/officeDocument/2006/relationships/numbering" Target="/word/numbering.xml" Id="Rc44efccfe3cb409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2026-09-09T15:10:54Z</dcterms:created>
  <cp:lastModifiedBy>OfficeCLI</cp:lastModifiedBy>
  <dcterms:modified xsi:type="dcterms:W3CDTF">2026-09-09T15:10:54Z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2026-09-09T15:10:56Z</vt:lpwstr>
  </op:property>
</op:Properties>
</file>