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5babe60457241db" /><Relationship Type="http://schemas.openxmlformats.org/package/2006/relationships/metadata/core-properties" Target="/docProps/core.xml" Id="Rf33609ee4bbf4a4a" /><Relationship Type="http://schemas.openxmlformats.org/officeDocument/2006/relationships/extended-properties" Target="/docProps/app.xml" Id="R644b314a9bb4446b" /><Relationship Type="http://schemas.openxmlformats.org/officeDocument/2006/relationships/custom-properties" Target="/docProps/custom.xml" Id="R77ff72aafc884ec2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spacing w:after="80"/>
      </w:pPr>
      <w:r>
        <w:rPr>
          <w:color w:val="FFB347"/>
          <w:sz w:val="20"/>
        </w:rPr>
        <w:t xml:space="preserve">IBM Qiskit Fall Fest 2026  ·  Quantum for Humanity Org</w:t>
      </w:r>
    </w:p>
    <w:p w14:paraId="00100002" w14:textId="00100003">
      <w:pPr>
        <w:pStyle w:val="Heading1"/>
        <w:spacing w:after="160"/>
      </w:pPr>
      <w:r>
        <w:rPr>
          <w:b/>
          <w:sz w:val="48"/>
        </w:rPr>
        <w:t xml:space="preserve">Day 5 — Hackathon Finals, Showcase &amp; Quantum Roadmap 2030</w:t>
      </w:r>
    </w:p>
    <w:p w14:paraId="00100004" w14:textId="00100005">
      <w:pPr>
        <w:spacing w:after="320"/>
      </w:pPr>
      <w:r>
        <w:rPr>
          <w:color w:val="8888AA"/>
          <w:sz w:val="22"/>
        </w:rPr>
        <w:t xml:space="preserve">November 20, 2026  ·  All Levels — Celebration  ·  IBM Quantum × Quantum for Humanity Org</w:t>
      </w:r>
    </w:p>
    <w:p w14:paraId="00100006" w14:textId="00100007">
      <w:pPr>
        <w:pStyle w:val="Heading2"/>
        <w:spacing w:before="280" w:after="120"/>
      </w:pPr>
      <w:r>
        <w:rPr>
          <w:b/>
          <w:sz w:val="32"/>
        </w:rPr>
        <w:t xml:space="preserve">1. Hackathon Guide &amp; Judging Rubric</w:t>
      </w:r>
    </w:p>
    <w:p w14:paraId="00100008" w14:textId="00100009">
      <w:pPr>
        <w:spacing w:after="240"/>
      </w:pPr>
      <w:r>
        <w:rPr>
          <w:sz w:val="22"/>
        </w:rPr>
        <w:t xml:space="preserve">4 tracks: Healthcare (drug targets, disease outcomes), Agriculture (water allocation, crop yield), Education (adaptive learning, quantum literacy), Finance (credit scoring, remittance, risk). Judging: Technical Depth (30pts), Impact Potential (25pts), Innovation (20pts), Presentation (15pts), Reproducibility (10pts). Special awards: Impact Award (highest humanitarian score), Global Inclusion Award (most diverse team), Best Beginner Team. Prizes: $10K/5K/2.5K IBM Quantum credits + certificates + mentorship.</w:t>
      </w:r>
    </w:p>
    <w:p w14:paraId="0010000A" w14:textId="0010000B">
      <w:pPr>
        <w:pStyle w:val="Heading2"/>
        <w:spacing w:before="280" w:after="120"/>
      </w:pPr>
      <w:r>
        <w:rPr>
          <w:b/>
          <w:sz w:val="32"/>
        </w:rPr>
        <w:t xml:space="preserve">2. Building a Winning Submission</w:t>
      </w:r>
    </w:p>
    <w:p w14:paraId="0010000C" w14:textId="0010000D">
      <w:pPr>
        <w:spacing w:after="240"/>
      </w:pPr>
      <w:r>
        <w:rPr>
          <w:sz w:val="22"/>
        </w:rPr>
        <w:t xml:space="preserve">Project structure: README (problem, approach, results, install instructions), requirements.txt, src/ (quantum_model.py, classical_pre.py, evaluation.py), notebooks/ (exploration, quantum dev, results), data/ (sources, licences), presentation/ (5-min deck). Checklist: circuit tested on AerSimulator, error mitigation applied for hardware runs, classical baseline compared, impact quantified, MIT/Apache 2.0 licence, all datasets attributed. GitHub repo required for submission.</w:t>
      </w:r>
    </w:p>
    <w:p w14:paraId="0010000E" w14:textId="0010000F">
      <w:pPr>
        <w:pStyle w:val="Heading2"/>
        <w:spacing w:before="280" w:after="120"/>
      </w:pPr>
      <w:r>
        <w:rPr>
          <w:b/>
          <w:sz w:val="32"/>
        </w:rPr>
        <w:t xml:space="preserve">3. Quantum for Humanity Manifesto</w:t>
      </w:r>
    </w:p>
    <w:p w14:paraId="00100010" w14:textId="00100011">
      <w:pPr>
        <w:spacing w:after="240"/>
      </w:pPr>
      <w:r>
        <w:rPr>
          <w:sz w:val="22"/>
        </w:rPr>
        <w:t xml:space="preserve">Seven founding principles: (1) Open Science — all humanitarian quantum research open access; (2) Inclusive Access — free tools for LMIC; (3) Community Sovereignty — affected communities define problems; (4) Transparency — quantum AI must be explainable; (5) Non-Weaponisation — no WMD or mass surveillance; (6) Intergenerational Equity — benefits distributed across generations; (7) Cultural Respect — acknowledge all contributors. Sign at discord.gg/UgF3PaEax.</w:t>
      </w:r>
    </w:p>
    <w:p w14:paraId="00100012" w14:textId="00100013">
      <w:pPr>
        <w:pStyle w:val="Heading2"/>
        <w:spacing w:before="280" w:after="120"/>
      </w:pPr>
      <w:r>
        <w:rPr>
          <w:b/>
          <w:sz w:val="32"/>
        </w:rPr>
        <w:t xml:space="preserve">4. IBM Quantum Roadmap 2026–2033</w:t>
      </w:r>
    </w:p>
    <w:p w14:paraId="00100014" w14:textId="00100015">
      <w:pPr>
        <w:spacing w:after="240"/>
      </w:pPr>
      <w:r>
        <w:rPr>
          <w:sz w:val="22"/>
        </w:rPr>
        <w:t xml:space="preserve">2023: Quantum utility demonstrated (Kim et al., Nature 618, 2023). 2024: Heron r2, 99.9% 2Q fidelity, break-even surface code. 2025: Flamingo multi-chip. 2026: Kookaburra (4158Q, ~100 logical qubits). 2028: early fault-tolerant applications. 2033: 100,000 physical qubits, ~100 logical at 10⁻¹⁰ error rate. Market: $1.3B (2023) → $45-100B (2030, McKinsey). Workforce gap: 2.5 million quantum workers needed by 2030 (WEF). Quantum divide: only 6/195 countries have quantum strategies — deliberate inclusion policy required.</w:t>
      </w:r>
    </w:p>
    <w:p w14:paraId="00100016" w14:textId="00100017">
      <w:pPr>
        <w:pStyle w:val="Heading2"/>
        <w:spacing w:before="280" w:after="120"/>
      </w:pPr>
      <w:r>
        <w:rPr>
          <w:b/>
          <w:sz w:val="32"/>
        </w:rPr>
        <w:t xml:space="preserve">5. Career Pathways in Quantum Computing</w:t>
      </w:r>
    </w:p>
    <w:p w14:paraId="00100018" w14:textId="00100019">
      <w:pPr>
        <w:spacing w:after="240"/>
      </w:pPr>
      <w:r>
        <w:rPr>
          <w:sz w:val="22"/>
        </w:rPr>
        <w:t xml:space="preserve">Roles: Quantum Software Engineer (Qiskit, Python, algorithms), Quantum Algorithm Researcher (PhD, complexity theory, QFT), Quantum Hardware Engineer (EE/Physics PhD, microwave, dilution refrigerators), Quantum Application Specialist (domain expertise + Qiskit), Quantum Policy Analyst (policy + quantum literacy), Quantum Educator (communication, community). Certifications: IBM Certified Associate Developer, Qiskit Advocate, QFF 2026 Certificate, MIT xPRO. Next steps: learning.quantum.ibm.com, qiskit.org/advocates, Discord community.</w:t>
      </w:r>
    </w:p>
    <w:p w14:paraId="0010001A" w14:textId="0010001B">
      <w:pPr>
        <w:pStyle w:val="Heading2"/>
        <w:spacing w:before="280" w:after="120"/>
      </w:pPr>
      <w:r>
        <w:rPr>
          <w:b/>
          <w:sz w:val="32"/>
        </w:rPr>
        <w:t xml:space="preserve">References</w:t>
      </w:r>
    </w:p>
    <w:p w14:paraId="0010001C" w14:textId="0010001D">
      <w:pPr>
        <w:numPr>
          <w:ilvl w:val="0"/>
          <w:numId w:val="1"/>
        </w:numPr>
        <w:spacing w:after="80"/>
      </w:pPr>
      <w:r>
        <w:rPr>
          <w:sz w:val="20"/>
        </w:rPr>
        <w:t xml:space="preserve">[1] IBM Quantum. IBM Quantum Development Roadmap. ibm.com/quantum/roadmap, 2024.</w:t>
      </w:r>
    </w:p>
    <w:p w14:paraId="0010001E" w14:textId="0010001F">
      <w:pPr>
        <w:numPr>
          <w:ilvl w:val="0"/>
          <w:numId w:val="1"/>
        </w:numPr>
        <w:spacing w:after="80"/>
      </w:pPr>
      <w:r>
        <w:rPr>
          <w:sz w:val="20"/>
        </w:rPr>
        <w:t xml:space="preserve">[2] McKinsey &amp; Company. Quantum Technology Monitor. McKinsey Global Institute, 2023.</w:t>
      </w:r>
    </w:p>
    <w:p w14:paraId="00100020" w14:textId="00100021">
      <w:pPr>
        <w:numPr>
          <w:ilvl w:val="0"/>
          <w:numId w:val="1"/>
        </w:numPr>
        <w:spacing w:after="80"/>
      </w:pPr>
      <w:r>
        <w:rPr>
          <w:sz w:val="20"/>
        </w:rPr>
        <w:t xml:space="preserve">[3] World Economic Forum. The Quantum Economy Blueprint. WEF, 2023.</w:t>
      </w:r>
    </w:p>
    <w:p w14:paraId="00100022" w14:textId="00100023">
      <w:pPr>
        <w:numPr>
          <w:ilvl w:val="0"/>
          <w:numId w:val="1"/>
        </w:numPr>
        <w:spacing w:after="80"/>
      </w:pPr>
      <w:r>
        <w:rPr>
          <w:sz w:val="20"/>
        </w:rPr>
        <w:t xml:space="preserve">[4] Kim, Y. et al. Evidence for the utility of quantum computing. Nature 618, 500–505, 2023.</w:t>
      </w:r>
    </w:p>
    <w:p w14:paraId="00100024" w14:textId="00100025">
      <w:pPr>
        <w:numPr>
          <w:ilvl w:val="0"/>
          <w:numId w:val="1"/>
        </w:numPr>
        <w:spacing w:after="80"/>
      </w:pPr>
      <w:r>
        <w:rPr>
          <w:sz w:val="20"/>
        </w:rPr>
        <w:t xml:space="preserve">[5] Preskill, J. Quantum Computing in the NISQ era and beyond. Quantum 2, 79, 2018.</w:t>
      </w:r>
    </w:p>
    <w:p w14:paraId="00100026" w14:textId="00100027">
      <w:pPr>
        <w:numPr>
          <w:ilvl w:val="0"/>
          <w:numId w:val="1"/>
        </w:numPr>
        <w:spacing w:after="80"/>
      </w:pPr>
      <w:r>
        <w:rPr>
          <w:sz w:val="20"/>
        </w:rPr>
        <w:t xml:space="preserve">[6] IBM Quantum Learning. Quantum Computing Learning Path. learning.quantum.ibm.com, 2024.</w:t>
      </w:r>
    </w:p>
    <w:p w14:paraId="00100028" w14:textId="00100029">
      <w:pPr>
        <w:numPr>
          <w:ilvl w:val="0"/>
          <w:numId w:val="1"/>
        </w:numPr>
        <w:spacing w:after="80"/>
      </w:pPr>
      <w:r>
        <w:rPr>
          <w:sz w:val="20"/>
        </w:rPr>
        <w:t xml:space="preserve">[7] Qiskit Advocates Program. qiskit.org/advocates, IBM, 2024.</w:t>
      </w:r>
    </w:p>
    <w:p w14:paraId="0010002A" w14:textId="0010002B">
      <w:pPr>
        <w:numPr>
          <w:ilvl w:val="0"/>
          <w:numId w:val="1"/>
        </w:numPr>
        <w:spacing w:after="80"/>
      </w:pPr>
      <w:r>
        <w:rPr>
          <w:sz w:val="20"/>
        </w:rPr>
        <w:t xml:space="preserve">[8] India National Quantum Mission. Department of Science &amp; Technology, India, 2023.</w:t>
      </w:r>
    </w:p>
    <w:p w14:paraId="0010002C" w14:textId="0010002D">
      <w:pPr>
        <w:numPr>
          <w:ilvl w:val="0"/>
          <w:numId w:val="1"/>
        </w:numPr>
        <w:spacing w:after="80"/>
      </w:pPr>
      <w:r>
        <w:rPr>
          <w:sz w:val="20"/>
        </w:rPr>
        <w:t xml:space="preserve">[9] IBM Research. Quantum-centric supercomputing. research.ibm.com/blog, 2023.</w:t>
      </w:r>
    </w:p>
    <w:p w14:paraId="0010002E" w14:textId="0010002F">
      <w:pPr>
        <w:numPr>
          <w:ilvl w:val="0"/>
          <w:numId w:val="1"/>
        </w:numPr>
        <w:spacing w:after="320"/>
      </w:pPr>
      <w:r>
        <w:rPr>
          <w:sz w:val="20"/>
        </w:rPr>
        <w:t xml:space="preserve">[10] Quantum Economic Development Consortium (QED-C). Quantum Workforce Report. NIST, 2022.</w:t>
      </w:r>
    </w:p>
    <w:p w14:paraId="00100030" w14:textId="00100031">
      <w:pPr>
        <w:spacing w:after="80"/>
      </w:pPr>
      <w:r>
        <w:rPr>
          <w:color w:val="8888AA"/>
          <w:sz w:val="18"/>
        </w:rPr>
        <w:t xml:space="preserve">IBM Qiskit Fall Fest 2026  ·  Quantum for Humanity Org  ·  Day 5 Study Guide  ·  November 20, 2026</w:t>
      </w:r>
    </w:p>
    <w:p w14:paraId="00100032" w14:textId="00100033">
      <w:pPr>
        <w:spacing w:after="80"/>
      </w:pPr>
      <w:r>
        <w:rPr>
          <w:color w:val="8888AA"/>
          <w:sz w:val="18"/>
        </w:rPr>
        <w:t xml:space="preserve">Content based on IBM Quantum Learning (CC BY 4.0). Independent community event — not an official IBM publication.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37c85333a9d4378" /><Relationship Type="http://schemas.openxmlformats.org/officeDocument/2006/relationships/styles" Target="/word/styles.xml" Id="R5013488f0ee443fa" /><Relationship Type="http://schemas.openxmlformats.org/officeDocument/2006/relationships/theme" Target="/word/theme/theme1.xml" Id="R3ea667fa2be14235" /><Relationship Type="http://schemas.openxmlformats.org/officeDocument/2006/relationships/numbering" Target="/word/numbering.xml" Id="R0688fbf8a0ff4f3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2026-09-09T15:12:18Z</dcterms:created>
  <cp:lastModifiedBy>OfficeCLI</cp:lastModifiedBy>
  <dcterms:modified xsi:type="dcterms:W3CDTF">2026-09-09T15:12:18Z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2026-09-09T15:12:19Z</vt:lpwstr>
  </op:property>
</op:Properties>
</file>