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4b818eb9eab426a" /><Relationship Type="http://schemas.openxmlformats.org/package/2006/relationships/metadata/core-properties" Target="/docProps/core.xml" Id="R4b8678741e1f4796" /><Relationship Type="http://schemas.openxmlformats.org/officeDocument/2006/relationships/extended-properties" Target="/docProps/app.xml" Id="R7c16fe9ba1824571" /><Relationship Type="http://schemas.openxmlformats.org/officeDocument/2006/relationships/custom-properties" Target="/docProps/custom.xml" Id="Ra1ec07885e764bd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360"/>
        <w:jc w:val="center"/>
      </w:pPr>
      <w:r>
        <w:rPr>
          <w:b/>
          <w:sz w:val="52"/>
        </w:rPr>
        <w:t xml:space="preserve">IBM Quantum Safe Enterprise Transformation &amp; Cryptographic Agility</w:t>
      </w:r>
    </w:p>
    <w:p w14:paraId="00100002" w14:textId="00100003">
      <w:pPr>
        <w:pStyle w:val="Subtitle"/>
        <w:spacing w:after="720"/>
        <w:jc w:val="center"/>
      </w:pPr>
      <w:r>
        <w:rPr>
          <w:sz w:val="26"/>
        </w:rPr>
        <w:t xml:space="preserve">The Master Reference &amp; Engineering Study Guide for Cybersecurity Architects, developers, and Systems Engineers</w:t>
      </w:r>
    </w:p>
    <w:p w14:paraId="00100004" w14:textId="00100005">
      <w:pPr>
        <w:pStyle w:val="Normal"/>
        <w:spacing w:after="960"/>
        <w:jc w:val="center"/>
      </w:pPr>
      <w:r>
        <w:rPr>
          <w:sz w:val="20"/>
        </w:rPr>
        <w:t xml:space="preserve">IBM Quantum &amp; Quantum for Humanity Org  ·  November 2026 Edition</w:t>
      </w:r>
    </w:p>
    <w:p w14:paraId="00100006" w14:textId="00100007">
      <w:pPr>
        <w:pStyle w:val="Heading1"/>
        <w:spacing w:before="240" w:after="240"/>
      </w:pPr>
      <w:r>
        <w:rPr>
          <w:b/>
          <w:sz w:val="36"/>
        </w:rPr>
        <w:t xml:space="preserve">Chapter 1: The Post-Quantum Cryptographic Threat Landscape</w:t>
      </w:r>
    </w:p>
    <w:p w14:paraId="00100008" w14:textId="00100009">
      <w:pPr>
        <w:pStyle w:val="Heading2"/>
        <w:spacing w:before="240" w:after="120"/>
      </w:pPr>
      <w:r>
        <w:rPr>
          <w:b/>
          <w:sz w:val="28"/>
        </w:rPr>
        <w:t xml:space="preserve">1.1 Shor's Algorithm Mechanics and Asymmetric Vulnerability</w:t>
      </w:r>
    </w:p>
    <w:p w14:paraId="0010000A" w14:textId="0010000B">
      <w:pPr>
        <w:pStyle w:val="Normal"/>
        <w:spacing w:after="240"/>
      </w:pPr>
      <w:r>
        <w:rPr>
          <w:sz w:val="22"/>
        </w:rPr>
        <w:t xml:space="preserve">Shor's algorithm provides an exponential quantum speedup in solving the mathematical problems of integer factorization and discrete logarithms. Traditional asymmetric algorithms—including RSA, Diffie-Hellman (DH), Elliptic Curve Diffie-Hellman (ECDH), and the Elliptic Curve Digital Signature Algorithm (ECDSA)—rely on these problems being computationally intractable. On a Cryptanalytically Relevant Quantum Computer (CRQC), Shor's algorithm reduces the security of these legacy primitives to cubic time, completely breaking public-key cryptography and leaving PKI, digital identities, TLS/HTTPS, and blockchain vulnerable.</w:t>
      </w:r>
    </w:p>
    <w:p w14:paraId="0010000C" w14:textId="0010000D">
      <w:pPr>
        <w:pStyle w:val="Heading2"/>
        <w:spacing w:before="240" w:after="120"/>
      </w:pPr>
      <w:r>
        <w:rPr>
          <w:b/>
          <w:sz w:val="28"/>
        </w:rPr>
        <w:t xml:space="preserve">1.2 Grover's Algorithm and Symmetric Key Sizing</w:t>
      </w:r>
    </w:p>
    <w:p w14:paraId="0010000E" w14:textId="0010000F">
      <w:pPr>
        <w:pStyle w:val="Normal"/>
        <w:spacing w:after="240"/>
      </w:pPr>
      <w:r>
        <w:rPr>
          <w:sz w:val="22"/>
        </w:rPr>
        <w:t xml:space="preserve">Grover's algorithm provides a quadratic quantum speedup in searching unstructured databases. In cybersecurity terms, this speeds up brute-force key-search attacks, effectively cutting symmetric key strengths in half (from N to N/2 bits). Consequently, standard AES-128 is reduced to an insecure 64-bit strength, while AES-256 remains safe against quantum attacks as it retains a 128-bit quantum security strength. To prepare for the post-quantum era, all symmetric key systems must migrate from AES-128 or lower to AES-256.</w:t>
      </w:r>
    </w:p>
    <w:p w14:paraId="00100010" w14:textId="00100011">
      <w:pPr>
        <w:pStyle w:val="Heading2"/>
        <w:spacing w:before="240" w:after="120"/>
      </w:pPr>
      <w:r>
        <w:rPr>
          <w:b/>
          <w:sz w:val="28"/>
        </w:rPr>
        <w:t xml:space="preserve">1.3 Harvest Now, Decrypt Later (HNDL)</w:t>
      </w:r>
    </w:p>
    <w:p w14:paraId="00100012" w14:textId="00100013">
      <w:pPr>
        <w:pStyle w:val="Normal"/>
        <w:spacing w:after="480"/>
      </w:pPr>
      <w:r>
        <w:rPr>
          <w:sz w:val="22"/>
        </w:rPr>
        <w:t xml:space="preserve">A primary reason that the quantum threat is immediate is the 'Harvest Now, Decrypt Later' (HNDL) strategy. Adversaries intercept and archive encrypted network traffic, databases, and assets today, planning to decrypt them retroactively once a CRQC is developed. Organizations with long-term data protection requirements—such as health archives, government classification, financial ledgers, and intellectual property—must migrate to quantum-safe structures immediately to prevent future decryption.</w:t>
      </w:r>
    </w:p>
    <w:p w14:paraId="00100014" w14:textId="00100015">
      <w:pPr>
        <w:pStyle w:val="Heading1"/>
        <w:spacing w:before="240" w:after="240"/>
      </w:pPr>
      <w:r>
        <w:rPr>
          <w:b/>
          <w:sz w:val="36"/>
        </w:rPr>
        <w:t xml:space="preserve">Chapter 2: NIST Post-Quantum Cryptography (PQC) Standards</w:t>
      </w:r>
    </w:p>
    <w:p w14:paraId="00100016" w14:textId="00100017">
      <w:pPr>
        <w:pStyle w:val="Normal"/>
        <w:spacing w:after="240"/>
      </w:pPr>
      <w:r>
        <w:rPr>
          <w:sz w:val="22"/>
        </w:rPr>
        <w:t xml:space="preserve">In August 2024, the National Institute of Standards and Technology (NIST) finalized the primary standards for post-quantum cryptography, co-designed by IBM Research. These algorithms represent a shift from number-theoretic primitives to lattice-based and hash-based systems.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18" w14:textId="00100019">
            <w:r>
              <w:t xml:space="preserve">NIST Standard</w:t>
            </w:r>
          </w:p>
        </w:tc>
        <w:tc>
          <w:p w14:paraId="0010001A" w14:textId="0010001B">
            <w:r>
              <w:t xml:space="preserve">Algorithm Name</w:t>
            </w:r>
          </w:p>
        </w:tc>
        <w:tc>
          <w:p w14:paraId="0010001C" w14:textId="0010001D">
            <w:r>
              <w:t xml:space="preserve">Mathematical Basis</w:t>
            </w:r>
          </w:p>
        </w:tc>
        <w:tc>
          <w:p w14:paraId="0010001E" w14:textId="0010001F">
            <w:r>
              <w:t xml:space="preserve">Enterprise Use Case</w:t>
            </w:r>
          </w:p>
        </w:tc>
      </w:tr>
      <w:tr>
        <w:trPr/>
        <w:tc>
          <w:p w14:paraId="00100020" w14:textId="00100021">
            <w:r>
              <w:t xml:space="preserve">FIPS 203</w:t>
            </w:r>
          </w:p>
        </w:tc>
        <w:tc>
          <w:p w14:paraId="00100022" w14:textId="00100023">
            <w:r>
              <w:t xml:space="preserve">ML-KEM (Kyber)</w:t>
            </w:r>
          </w:p>
        </w:tc>
        <w:tc>
          <w:p w14:paraId="00100024" w14:textId="00100025">
            <w:r>
              <w:t xml:space="preserve">Module Learning with Errors (M-LWE)</w:t>
            </w:r>
          </w:p>
        </w:tc>
        <w:tc>
          <w:p w14:paraId="00100026" w14:textId="00100027">
            <w:r>
              <w:t xml:space="preserve">General encryption, SSL/TLS handshake key exchange</w:t>
            </w:r>
          </w:p>
        </w:tc>
      </w:tr>
      <w:tr>
        <w:trPr/>
        <w:tc>
          <w:p w14:paraId="00100028" w14:textId="00100029">
            <w:r>
              <w:t xml:space="preserve">FIPS 204</w:t>
            </w:r>
          </w:p>
        </w:tc>
        <w:tc>
          <w:p w14:paraId="0010002A" w14:textId="0010002B">
            <w:r>
              <w:t xml:space="preserve">ML-DSA (Dilithium)</w:t>
            </w:r>
          </w:p>
        </w:tc>
        <w:tc>
          <w:p w14:paraId="0010002C" w14:textId="0010002D">
            <w:r>
              <w:t xml:space="preserve">Module Learning with Errors (M-LWE)</w:t>
            </w:r>
          </w:p>
        </w:tc>
        <w:tc>
          <w:p w14:paraId="0010002E" w14:textId="0010002F">
            <w:r>
              <w:t xml:space="preserve">PKI certificates, identity verification, signature signing</w:t>
            </w:r>
          </w:p>
        </w:tc>
      </w:tr>
      <w:tr>
        <w:trPr/>
        <w:tc>
          <w:p w14:paraId="00100030" w14:textId="00100031">
            <w:r>
              <w:t xml:space="preserve">FIPS 205</w:t>
            </w:r>
          </w:p>
        </w:tc>
        <w:tc>
          <w:p w14:paraId="00100032" w14:textId="00100033">
            <w:r>
              <w:t xml:space="preserve">SLH-DSA (SPHINCS+)</w:t>
            </w:r>
          </w:p>
        </w:tc>
        <w:tc>
          <w:p w14:paraId="00100034" w14:textId="00100035">
            <w:r>
              <w:t xml:space="preserve">Stateless Hash-Based Cryptography</w:t>
            </w:r>
          </w:p>
        </w:tc>
        <w:tc>
          <w:p w14:paraId="00100036" w14:textId="00100037">
            <w:r>
              <w:t xml:space="preserve">Backup signatures, firmware signing, code authorization</w:t>
            </w:r>
          </w:p>
        </w:tc>
      </w:tr>
      <w:tr>
        <w:trPr/>
        <w:tc>
          <w:p w14:paraId="00100038" w14:textId="00100039">
            <w:r>
              <w:t xml:space="preserve">FIPS 206</w:t>
            </w:r>
          </w:p>
        </w:tc>
        <w:tc>
          <w:p w14:paraId="0010003A" w14:textId="0010003B">
            <w:r>
              <w:t xml:space="preserve">FN-DSA (FALCON)</w:t>
            </w:r>
          </w:p>
        </w:tc>
        <w:tc>
          <w:p w14:paraId="0010003C" w14:textId="0010003D">
            <w:r>
              <w:t xml:space="preserve">NTRU Lattice</w:t>
            </w:r>
          </w:p>
        </w:tc>
        <w:tc>
          <w:p w14:paraId="0010003E" w14:textId="0010003F">
            <w:r>
              <w:t xml:space="preserve">Compact signatures for resource-constrained backends</w:t>
            </w:r>
          </w:p>
        </w:tc>
      </w:tr>
    </w:tbl>
    <w:p w14:paraId="00100040" w14:textId="00100041">
      <w:pPr>
        <w:pStyle w:val="Heading2"/>
        <w:spacing w:before="240" w:after="120"/>
      </w:pPr>
      <w:r>
        <w:rPr>
          <w:b/>
          <w:sz w:val="28"/>
        </w:rPr>
        <w:t xml:space="preserve">2.1 Sizing Bottlenecks and Buffer Constraints</w:t>
      </w:r>
    </w:p>
    <w:p w14:paraId="00100042" w14:textId="00100043">
      <w:pPr>
        <w:pStyle w:val="Normal"/>
        <w:spacing w:after="480"/>
      </w:pPr>
      <w:r>
        <w:rPr>
          <w:sz w:val="22"/>
        </w:rPr>
        <w:t xml:space="preserve">Lattice-based algorithms use high-dimensional geometric keys which are orders of magnitude larger than classical elliptic curve keys (64 bytes). For instance, FIPS 203 ML-KEM-768 public keys are 1,184 bytes, and FIPS 204 ML-DSA-65 signatures are exactly 3,293 bytes. These larger sizes increase transmission overhead and can trigger buffer overflow exceptions in older software applications, requiring network and software engineers to verify and expand memory bounds.</w:t>
      </w:r>
    </w:p>
    <w:p w14:paraId="00100044" w14:textId="00100045">
      <w:pPr>
        <w:pStyle w:val="Heading1"/>
        <w:spacing w:before="240" w:after="240"/>
      </w:pPr>
      <w:r>
        <w:rPr>
          <w:b/>
          <w:sz w:val="36"/>
        </w:rPr>
        <w:t xml:space="preserve">Chapter 3: IBM Transformation Framework &amp; CBOM Standard</w:t>
      </w:r>
    </w:p>
    <w:p w14:paraId="00100046" w14:textId="00100047">
      <w:pPr>
        <w:pStyle w:val="Heading2"/>
        <w:spacing w:before="240" w:after="120"/>
      </w:pPr>
      <w:r>
        <w:rPr>
          <w:b/>
          <w:sz w:val="28"/>
        </w:rPr>
        <w:t xml:space="preserve">3.1 Discover, Observe, and Transform Phases</w:t>
      </w:r>
    </w:p>
    <w:p w14:paraId="00100048" w14:textId="00100049">
      <w:pPr>
        <w:pStyle w:val="Normal"/>
        <w:spacing w:after="240"/>
      </w:pPr>
      <w:r>
        <w:rPr>
          <w:sz w:val="22"/>
        </w:rPr>
        <w:t xml:space="preserve">The IBM Quantum Safe Transformation Framework outlines a three-step path:</w:t>
      </w:r>
    </w:p>
    <w:p w14:paraId="0010004A" w14:textId="0010004B">
      <w:pPr>
        <w:pStyle w:val="Normal"/>
        <w:spacing w:after="240"/>
      </w:pPr>
      <w:r>
        <w:rPr>
          <w:sz w:val="22"/>
        </w:rPr>
        <w:t xml:space="preserve">1. DISCOVER: Scan source codes, binaries, HSMs, and network endpoints to construct a comprehensive cryptographic inventory of all active systems.</w:t>
      </w:r>
    </w:p>
    <w:p w14:paraId="0010004C" w14:textId="0010004D">
      <w:pPr>
        <w:pStyle w:val="Normal"/>
        <w:spacing w:after="240"/>
      </w:pPr>
      <w:r>
        <w:rPr>
          <w:sz w:val="22"/>
        </w:rPr>
        <w:t xml:space="preserve">2. OBSERVE: Map inventoried assets against company or regulatory compliance policies (NIST FIPS, NSA CNSA 2.0). Calculate a Risk Exposure Index considering data lifespan and cipher weakness (Tools: IBM Quantum Safe Advisor).</w:t>
      </w:r>
    </w:p>
    <w:p w14:paraId="0010004E" w14:textId="0010004F">
      <w:pPr>
        <w:pStyle w:val="Normal"/>
        <w:spacing w:after="240"/>
      </w:pPr>
      <w:r>
        <w:rPr>
          <w:sz w:val="22"/>
        </w:rPr>
        <w:t xml:space="preserve">3. TRANSFORM: Remediate legacy assets with crypto-agile software configurations, post-quantum hardware, and hybrid ciphers (Tools: IBM Quantum Safe Remediator, Crypto Express 8S on IBM z16).</w:t>
      </w:r>
    </w:p>
    <w:p w14:paraId="00100050" w14:textId="00100051">
      <w:pPr>
        <w:pStyle w:val="Heading2"/>
        <w:spacing w:before="240" w:after="120"/>
      </w:pPr>
      <w:r>
        <w:rPr>
          <w:b/>
          <w:sz w:val="28"/>
        </w:rPr>
        <w:t xml:space="preserve">3.2 Cryptographic Bill of Materials (CBOM) Specifications</w:t>
      </w:r>
    </w:p>
    <w:p w14:paraId="00100052" w14:textId="00100053">
      <w:pPr>
        <w:pStyle w:val="Normal"/>
        <w:spacing w:after="480"/>
      </w:pPr>
      <w:r>
        <w:rPr>
          <w:sz w:val="22"/>
        </w:rPr>
        <w:t xml:space="preserve">A Cryptographic Bill of Materials (CBOM) is an extension of the standard Software Bill of Materials (SBOM) based on the OWASP CycloneDX specification. It translates cryptographic postures into standard, machine-readable JSON documents. A CBOM records algorithm names, object identifiers (OIDs), key sizes, files, line numbers, vulnerabilities, and regulatory compliance categories.</w:t>
      </w:r>
    </w:p>
    <w:p w14:paraId="00100054" w14:textId="00100055">
      <w:pPr>
        <w:pStyle w:val="Heading1"/>
        <w:spacing w:before="240" w:after="240"/>
      </w:pPr>
      <w:r>
        <w:rPr>
          <w:b/>
          <w:sz w:val="36"/>
        </w:rPr>
        <w:t xml:space="preserve">Chapter 4: Hybrid Engineering &amp; Crypto-Agility Design</w:t>
      </w:r>
    </w:p>
    <w:p w14:paraId="00100056" w14:textId="00100057">
      <w:pPr>
        <w:pStyle w:val="Heading2"/>
        <w:spacing w:before="240" w:after="120"/>
      </w:pPr>
      <w:r>
        <w:rPr>
          <w:b/>
          <w:sz w:val="28"/>
        </w:rPr>
        <w:t xml:space="preserve">4.1 Hybrid Key Derivation Function (HKDF)</w:t>
      </w:r>
    </w:p>
    <w:p w14:paraId="00100058" w14:textId="00100059">
      <w:pPr>
        <w:pStyle w:val="Normal"/>
        <w:spacing w:after="240"/>
      </w:pPr>
      <w:r>
        <w:rPr>
          <w:sz w:val="22"/>
        </w:rPr>
        <w:t xml:space="preserve">Migrating public keys involves risk, as lattice cryptography is mathematically young. To prevent outages or breaches if vulnerabilities are discovered, organizations implement hybrid cryptography. Hybrid key exchanges generate classical secrets (like ECDH) and lattice secrets (like ML-KEM) in parallel and combine them via HMAC-SHA256 HKDF-Extract-and-Expand:</w:t>
      </w:r>
    </w:p>
    <w:p w14:paraId="0010005A" w14:textId="0010005B">
      <w:pPr>
        <w:pStyle w:val="Normal"/>
        <w:spacing w:after="240"/>
      </w:pPr>
      <w:r>
        <w:rPr>
          <w:sz w:val="22"/>
        </w:rPr>
        <w:t xml:space="preserve">- PRK = HMAC-SHA256(salt, classical_secret + pq_secret)</w:t>
      </w:r>
    </w:p>
    <w:p w14:paraId="0010005C" w14:textId="0010005D">
      <w:pPr>
        <w:pStyle w:val="Normal"/>
        <w:spacing w:after="240"/>
      </w:pPr>
      <w:r>
        <w:rPr>
          <w:sz w:val="22"/>
        </w:rPr>
        <w:t xml:space="preserve">- Derived_Key = HMAC-SHA256(PRK, info_label + count_block)</w:t>
      </w:r>
    </w:p>
    <w:p w14:paraId="0010005E" w14:textId="0010005F">
      <w:pPr>
        <w:pStyle w:val="Heading2"/>
        <w:spacing w:before="240" w:after="120"/>
      </w:pPr>
      <w:r>
        <w:rPr>
          <w:b/>
          <w:sz w:val="28"/>
        </w:rPr>
        <w:t xml:space="preserve">4.2 Crypto-Agility Abstraction and Dynamic Policies</w:t>
      </w:r>
    </w:p>
    <w:p w14:paraId="00100060" w14:textId="00100061">
      <w:pPr>
        <w:pStyle w:val="Normal"/>
        <w:spacing w:after="480"/>
      </w:pPr>
      <w:r>
        <w:rPr>
          <w:sz w:val="22"/>
        </w:rPr>
        <w:t xml:space="preserve">Crypto-agility is a software design pattern where ciphers are decoupled from logic. Instead of hardcoding library calls, applications use abstract APIs governed by central configuration files (JSON/YAML). A stateful engine dynamically manages security modes ('CLASSICAL', 'HYBRID', 'POST_QUANTUM'), allowing administrators to hot-swap cipher suites at the API gateway level with zero application downtime.</w:t>
      </w:r>
    </w:p>
    <w:p w14:paraId="00100062" w14:textId="00100063">
      <w:pPr>
        <w:pStyle w:val="Heading1"/>
        <w:spacing w:before="240" w:after="240"/>
      </w:pPr>
      <w:r>
        <w:rPr>
          <w:b/>
          <w:sz w:val="36"/>
        </w:rPr>
        <w:t xml:space="preserve">Chapter 5: Laboratory Code Guides &amp; Solutions</w:t>
      </w:r>
    </w:p>
    <w:p w14:paraId="00100064" w14:textId="00100065">
      <w:pPr>
        <w:pStyle w:val="Heading2"/>
        <w:spacing w:before="240" w:after="120"/>
      </w:pPr>
      <w:r>
        <w:rPr>
          <w:b/>
          <w:sz w:val="28"/>
        </w:rPr>
        <w:t xml:space="preserve">5.1 Lab 1 Guide: Code Discovery Scanner</w:t>
      </w:r>
    </w:p>
    <w:p w14:paraId="00100066" w14:textId="00100067">
      <w:pPr>
        <w:pStyle w:val="Normal"/>
        <w:spacing w:after="240"/>
      </w:pPr>
      <w:r>
        <w:rPr>
          <w:sz w:val="22"/>
        </w:rPr>
        <w:t xml:space="preserve">Lab 1 covers creating a risk classifier and automated parser. Students scan files for keywords like 'RSA' or '3DES'. If RSA is found, the classifier tags it as vulnerable, Legacy standard, and recommends 'Migrate to ML-KEM'. If ML-KEM or Kyber is scanned, it returns non-vulnerable, FIPS 203 standard, and 'None' action.</w:t>
      </w:r>
    </w:p>
    <w:p w14:paraId="00100068" w14:textId="00100069">
      <w:pPr>
        <w:pStyle w:val="Heading2"/>
        <w:spacing w:before="240" w:after="120"/>
      </w:pPr>
      <w:r>
        <w:rPr>
          <w:b/>
          <w:sz w:val="28"/>
        </w:rPr>
        <w:t xml:space="preserve">5.2 Lab 2 Guide: Hybrid Key exchanges and Signatures</w:t>
      </w:r>
    </w:p>
    <w:p w14:paraId="0010006A" w14:textId="0010006B">
      <w:pPr>
        <w:pStyle w:val="Normal"/>
        <w:spacing w:after="240"/>
      </w:pPr>
      <w:r>
        <w:rPr>
          <w:sz w:val="22"/>
        </w:rPr>
        <w:t xml:space="preserve">Lab 2 implements key mixing and boundary verification. The mixing algorithm concatenates the public/private secrets, computes the intermediate extraction PRK, and executes the HMAC expand step. Signature verification enforces boundary checks, asserting that ML-DSA-65 signatures are exactly 3293 bytes and public keys are 1952 bytes.</w:t>
      </w:r>
    </w:p>
    <w:p w14:paraId="0010006C" w14:textId="0010006D">
      <w:pPr>
        <w:pStyle w:val="Heading2"/>
        <w:spacing w:before="240" w:after="120"/>
      </w:pPr>
      <w:r>
        <w:rPr>
          <w:b/>
          <w:sz w:val="28"/>
        </w:rPr>
        <w:t xml:space="preserve">5.3 Lab 3 Guide: Crypto-Agility microservice API</w:t>
      </w:r>
    </w:p>
    <w:p w14:paraId="0010006E" w14:textId="0010006F">
      <w:pPr>
        <w:pStyle w:val="Normal"/>
        <w:spacing w:after="240"/>
      </w:pPr>
      <w:r>
        <w:rPr>
          <w:sz w:val="22"/>
        </w:rPr>
        <w:t xml:space="preserve">Lab 3 focuses on hot-swapping proxy servers. The security engine holds the state. An incoming API call (e.g., path '/secure/quantum-hq') is intercepted. The gateway proxies the request, hot-swaps the active state inside the Agile Security Engine, and establishes connection using quantum-safe or hybrid ciphers.</w:t>
      </w:r>
    </w:p>
    <w:p w14:paraId="00100070" w14:textId="00100071">
      <w:pPr>
        <w:pStyle w:val="Title"/>
        <w:spacing w:after="240"/>
        <w:jc w:val="center"/>
      </w:pPr>
      <w:r>
        <w:rPr>
          <w:b/>
          <w:sz w:val="52"/>
        </w:rPr>
        <w:t xml:space="preserve">IBM QUANTUM SAFE ENTERPRISE TRANSFORMATION TRANSITION TEXTBOOK</w:t>
      </w:r>
    </w:p>
    <w:p w14:paraId="00100072" w14:textId="00100073">
      <w:pPr>
        <w:pStyle w:val="Subtitle"/>
        <w:spacing w:after="480"/>
        <w:jc w:val="center"/>
      </w:pPr>
      <w:r>
        <w:rPr>
          <w:sz w:val="24"/>
        </w:rPr>
        <w:t xml:space="preserve">An Industrial-Grade Reference Manual &amp; Comprehensive Study Guide on Quantum-Resistant Migration, Cryptographic Discovery, Hybrid Protocols, and Crypto-Agility Engineering</w:t>
      </w:r>
    </w:p>
    <w:p w14:paraId="00100074" w14:textId="00100075">
      <w:pPr>
        <w:pStyle w:val="Normal"/>
        <w:spacing w:after="720"/>
        <w:jc w:val="center"/>
      </w:pPr>
      <w:r>
        <w:rPr>
          <w:sz w:val="20"/>
        </w:rPr>
        <w:t xml:space="preserve">Authored by: IBM Quantum Education &amp; Quantum for Humanity Org  ·  November 2026 Edition</w:t>
      </w:r>
    </w:p>
    <w:p w14:paraId="00100076" w14:textId="00100077">
      <w:pPr>
        <w:pStyle w:val="Heading1"/>
        <w:spacing w:before="360" w:after="240"/>
      </w:pPr>
      <w:r>
        <w:rPr>
          <w:b/>
          <w:sz w:val="32"/>
        </w:rPr>
        <w:t xml:space="preserve">CHAPTER 1: THE FOUNDATIONS OF CRYPTOGRAPHIC VULNERABILITY IN THE QUANTUM ERA</w:t>
      </w:r>
    </w:p>
    <w:p w14:paraId="00100078" w14:textId="00100079">
      <w:pPr>
        <w:pStyle w:val="Heading2"/>
        <w:spacing w:before="240" w:after="120"/>
      </w:pPr>
      <w:r>
        <w:rPr>
          <w:b/>
          <w:sz w:val="26"/>
        </w:rPr>
        <w:t xml:space="preserve">1.1 The Quantum Mechanics Threat Paradigm</w:t>
      </w:r>
    </w:p>
    <w:p w14:paraId="0010007A" w14:textId="0010007B">
      <w:pPr>
        <w:pStyle w:val="Normal"/>
        <w:spacing w:after="240"/>
      </w:pPr>
      <w:r>
        <w:rPr>
          <w:sz w:val="22"/>
        </w:rPr>
        <w:t xml:space="preserve">To fully comprehend the post-quantum cryptographic threat, one must analyze the physical laws governing quantum computers. Unlike classical computers which represent information in binary bits (0 or 1), quantum systems represent information in quantum bits, or qubits. Qubits utilize two fundamental principles of quantum mechanics: superposition and entanglement. Superposition allows a qubit to exist in a linear combination of states simultaneously, represented mathematically as |ψ⟩ = α|0⟩ + β|1⟩, where α and β are complex probability amplitudes such that |α|² + |β|² = 1. Entanglement describes a state of strong correlation between qubits where the state of one cannot be described independently of the others, regardless of physical distance. These properties allow quantum computers to process complex state spaces exponentially faster than classical systems using specialized quantum algorithms.</w:t>
      </w:r>
    </w:p>
    <w:p w14:paraId="0010007C" w14:textId="0010007D">
      <w:pPr>
        <w:pStyle w:val="Heading2"/>
        <w:spacing w:before="240" w:after="120"/>
      </w:pPr>
      <w:r>
        <w:rPr>
          <w:b/>
          <w:sz w:val="26"/>
        </w:rPr>
        <w:t xml:space="preserve">1.2 Shor's Algorithm: Mathematical Proof and RSA/ECC Demise</w:t>
      </w:r>
    </w:p>
    <w:p w14:paraId="0010007E" w14:textId="0010007F">
      <w:pPr>
        <w:pStyle w:val="Normal"/>
        <w:spacing w:after="240"/>
      </w:pPr>
      <w:r>
        <w:rPr>
          <w:sz w:val="22"/>
        </w:rPr>
        <w:t xml:space="preserve">Shor's algorithm, formulated by Peter Shor in 1994, is a quantum algorithm capable of finding the prime factors of an integer N in polynomial time, specifically O((log N)³). On a classical computer, factoring is an NP-hard problem; the best-known general factoring algorithm is the General Number Field Sieve (GNFS), which operates in sub-exponential time: O(exp((64/9)^(1/3) * (ln N)^(1/3) * (ln ln N)^(2/3))). Shor's algorithm achieves its exponential speedup by translating the factoring problem into a period-finding problem on a quantum system, utilizing the Quantum Fourier Transform (QFT). Similarly, Shor's algorithm solves the discrete logarithm problem over elliptic curves. Because the mathematical security of RSA, Diffie-Hellman, ECDH, and ECDSA depends entirely on the intractability of factoring large primes and finding discrete logarithms, a Cryptanalytically Relevant Quantum Computer (CRQC) running Shor's algorithm will completely and instantaneously compromise these legacy protocols. A public key of size 2048 bits can be factored in hours, completely undermining modern digital signatures, PKI certificate authorities, SSL/TLS, SSH, and secure web gates.</w:t>
      </w:r>
    </w:p>
    <w:p w14:paraId="00100080" w14:textId="00100081">
      <w:pPr>
        <w:pStyle w:val="Heading2"/>
        <w:spacing w:before="240" w:after="120"/>
      </w:pPr>
      <w:r>
        <w:rPr>
          <w:b/>
          <w:sz w:val="26"/>
        </w:rPr>
        <w:t xml:space="preserve">1.3 Grover's Algorithm: Symmetric Key Security Degradation</w:t>
      </w:r>
    </w:p>
    <w:p w14:paraId="00100082" w14:textId="00100083">
      <w:pPr>
        <w:pStyle w:val="Normal"/>
        <w:spacing w:after="240"/>
      </w:pPr>
      <w:r>
        <w:rPr>
          <w:sz w:val="22"/>
        </w:rPr>
        <w:t xml:space="preserve">Grover's algorithm, developed by Lov Grover in 1996, offers a quadratic speedup for searching an unstructured database containing N entries. On a classical computer, searching an unsorted list requires O(N) operations in the worst case. Grover's algorithm uses quantum superposition and amplitude amplification to locate the target in exactly O(√N) steps. When applied to symmetric cryptography (such as AES-128 and AES-256), Grover's algorithm acts as an accelerated brute-force key-search tool. It reduces the effective security strength of a symmetric key of length K to K/2 bits. Consequently, AES-128 is reduced to a 64-bit strength, which is highly vulnerable to quantum-accelerated attacks. However, **AES-256 is reduced to 128-bit strength, which remains completely secure against any conceivable brute-force quantum attack**. Therefore, the post-quantum mandate for symmetric cryptography is straightforward: deprecate AES-128 and mandate AES-256 across all databases, backups, and network protocols.</w:t>
      </w:r>
    </w:p>
    <w:p w14:paraId="00100084" w14:textId="00100085">
      <w:pPr>
        <w:pStyle w:val="Heading2"/>
        <w:spacing w:before="240" w:after="120"/>
      </w:pPr>
      <w:r>
        <w:rPr>
          <w:b/>
          <w:sz w:val="26"/>
        </w:rPr>
        <w:t xml:space="preserve">1.4 Harvest Now, Decrypt Later (HNDL) Threat Analysis</w:t>
      </w:r>
    </w:p>
    <w:p w14:paraId="00100086" w14:textId="00100087">
      <w:pPr>
        <w:pStyle w:val="Normal"/>
        <w:spacing w:after="360"/>
      </w:pPr>
      <w:r>
        <w:rPr>
          <w:sz w:val="22"/>
        </w:rPr>
        <w:t xml:space="preserve">A common misconception is that the quantum threat is years away and requires no immediate action. In reality, the 'Harvest Now, Decrypt Later' (HNDL) strategy makes the threat immediate. State actors and malicious entities are actively sniffing, intercepting, and storing encrypted enterprise network traffic, government backups, and corporate intellectual property today. Even though they cannot decrypt this captured data using classical systems, they will store it until a CRQC is built. At that moment, historical data containing proprietary intellectual property, strategic military communications, medical archives, and trade secrets with lifespans greater than 10 years will be decrypted retroactively. To mitigate this risk, security architects must implement post-quantum key exchanges and hybrid security layers immediately.</w:t>
      </w:r>
    </w:p>
    <w:p w14:paraId="00100088" w14:textId="00100089">
      <w:pPr>
        <w:pStyle w:val="Heading1"/>
        <w:spacing w:before="360" w:after="240"/>
      </w:pPr>
      <w:r>
        <w:rPr>
          <w:b/>
          <w:sz w:val="32"/>
        </w:rPr>
        <w:t xml:space="preserve">CHAPTER 2: GLOBAL STANDARDS AND POST-QUANTUM CRYPTOGRAPHIC (PQC) ALGORITHMS</w:t>
      </w:r>
    </w:p>
    <w:p w14:paraId="0010008A" w14:textId="0010008B">
      <w:pPr>
        <w:pStyle w:val="Heading2"/>
        <w:spacing w:before="240" w:after="120"/>
      </w:pPr>
      <w:r>
        <w:rPr>
          <w:b/>
          <w:sz w:val="26"/>
        </w:rPr>
        <w:t xml:space="preserve">2.1 The NIST Standardization Timeline and August 2024 Milestones</w:t>
      </w:r>
    </w:p>
    <w:p w14:paraId="0010008C" w14:textId="0010008D">
      <w:pPr>
        <w:pStyle w:val="Normal"/>
        <w:spacing w:after="240"/>
      </w:pPr>
      <w:r>
        <w:rPr>
          <w:sz w:val="22"/>
        </w:rPr>
        <w:t xml:space="preserve">In 2016, the National Institute of Standards and Technology (NIST) initiated a global evaluation process to standardize post-quantum public-key ciphers. Over several rounds, international research teams competed and submitted algorithms. In August 2024, NIST finalized and published the first three official Federal Information Processing Standards (FIPS), which form the foundation of global post-quantum cryptographic migration.</w:t>
      </w:r>
    </w:p>
    <w:p w14:paraId="0010008E" w14:textId="0010008F">
      <w:pPr>
        <w:pStyle w:val="Heading2"/>
        <w:spacing w:before="240" w:after="120"/>
      </w:pPr>
      <w:r>
        <w:rPr>
          <w:b/>
          <w:sz w:val="26"/>
        </w:rPr>
        <w:t xml:space="preserve">2.2 FIPS 203: ML-KEM (Module-Lattice Key Encapsulation)</w:t>
      </w:r>
    </w:p>
    <w:p w14:paraId="00100090" w14:textId="00100091">
      <w:pPr>
        <w:pStyle w:val="Normal"/>
        <w:spacing w:after="240"/>
      </w:pPr>
      <w:r>
        <w:rPr>
          <w:sz w:val="22"/>
        </w:rPr>
        <w:t xml:space="preserve">FIPS 203 defines ML-KEM (derived from the CRYSTALS-Kyber algorithm, which was co-designed by IBM Research). ML-KEM is a Module-Lattice-Based Key-Encapsulation Mechanism. It relies on the hardness of the Module Learning with Errors (M-LWE) mathematical problem. In M-LWE, the adversary is tasked with distinguishing noisy linear equations over polynomial rings from truly random equations. ML-KEM is the designated primary standard for general-purpose encryption and key exchange. It is used to securely exchange symmetric key bytes during TLS/HTTPS handshakes, VPN connections, and database sessions. The standard defines three parameter sets: ML-KEM-512 (AES-128 security equivalent), ML-KEM-768 (AES-192 security equivalent, level 3 security, highly recommended for industrial general use), and ML-KEM-1024 (AES-256 equivalent). A key feature of ML-KEM-768 is its public key size of exactly 1,184 bytes and ciphertext size of 1,088 bytes.</w:t>
      </w:r>
    </w:p>
    <w:p w14:paraId="00100092" w14:textId="00100093">
      <w:pPr>
        <w:pStyle w:val="Heading2"/>
        <w:spacing w:before="240" w:after="120"/>
      </w:pPr>
      <w:r>
        <w:rPr>
          <w:b/>
          <w:sz w:val="26"/>
        </w:rPr>
        <w:t xml:space="preserve">2.3 FIPS 204: ML-DSA (Module-Lattice Digital Signatures)</w:t>
      </w:r>
    </w:p>
    <w:p w14:paraId="00100094" w14:textId="00100095">
      <w:pPr>
        <w:pStyle w:val="Normal"/>
        <w:spacing w:after="240"/>
      </w:pPr>
      <w:r>
        <w:rPr>
          <w:sz w:val="22"/>
        </w:rPr>
        <w:t xml:space="preserve">FIPS 204 defines ML-DSA (derived from the CRYSTALS-Dilithium algorithm, co-designed by IBM Research). Like ML-KEM, it is based on the M-LWE problem over polynomial rings. ML-DSA is the primary designated standard for post-quantum digital signatures, PKI certificate authorities (CAs), secure boot validation, identity federation, and transaction signing. It completely replaces ECDSA and RSA-signing. The primary parameter set is ML-DSA-65 (equivalent to Level 3 security), which requires a public key of exactly 1,952 bytes and produces digital signatures of exactly 3,293 bytes.</w:t>
      </w:r>
    </w:p>
    <w:p w14:paraId="00100096" w14:textId="00100097">
      <w:pPr>
        <w:pStyle w:val="Heading2"/>
        <w:spacing w:before="240" w:after="120"/>
      </w:pPr>
      <w:r>
        <w:rPr>
          <w:b/>
          <w:sz w:val="26"/>
        </w:rPr>
        <w:t xml:space="preserve">2.4 FIPS 205: SLH-DSA (Stateless Hash-Based Signatures)</w:t>
      </w:r>
    </w:p>
    <w:p w14:paraId="00100098" w14:textId="00100099">
      <w:pPr>
        <w:pStyle w:val="Normal"/>
        <w:spacing w:after="240"/>
      </w:pPr>
      <w:r>
        <w:rPr>
          <w:sz w:val="22"/>
        </w:rPr>
        <w:t xml:space="preserve">FIPS 205 defines SLH-DSA (derived from SPHINCS+). It is a stateless hash-based signature scheme. Unlike lattice cryptography, which depends on newer mathematical problems, SLH-DSA relies solely on the security of its underlying cryptographic hash functions (such as SHA-256 or SHAKE-256). Its primary advantage is that it is completely independent of lattice mathematics, serving as an extremely robust, fail-safe backup signature standard. However, it produces larger signatures and is computationally heavier than ML-DSA, making it ideal for low-frequency, high-security systems like firmware updates, code-signing, and offline root certificate authorities.</w:t>
      </w:r>
    </w:p>
    <w:p w14:paraId="0010009A" w14:textId="0010009B">
      <w:pPr>
        <w:pStyle w:val="Heading2"/>
        <w:spacing w:before="240" w:after="120"/>
      </w:pPr>
      <w:r>
        <w:rPr>
          <w:b/>
          <w:sz w:val="26"/>
        </w:rPr>
        <w:t xml:space="preserve">2.5 Physical and Network Bottlenecks of PQC</w:t>
      </w:r>
    </w:p>
    <w:p w14:paraId="0010009C" w14:textId="0010009D">
      <w:pPr>
        <w:pStyle w:val="Normal"/>
        <w:spacing w:after="360"/>
      </w:pPr>
      <w:r>
        <w:rPr>
          <w:sz w:val="22"/>
        </w:rPr>
        <w:t xml:space="preserve">Transitioning to PQC is not a simple drop-in replacement. Classical Elliptic Curve signatures are extremely small (64 bytes). In contrast, ML-DSA-65 signatures are 3,293 bytes—an increase of over 5,000%. This size overhead creates transmission latency and causes packet fragmentation at the network layer, as standard Ethernet Maximum Transmission Units (MTUs) are typically 1,500 bytes. This forces signatures to span multiple IP fragments, increasing packet loss rates and risking buffer overflows in older legacy network routers and load balancers. Software and network engineers must scale up allocation queues and verify memory limits to accommodate these large public keys and signatures.</w:t>
      </w:r>
    </w:p>
    <w:p w14:paraId="0010009E" w14:textId="0010009F">
      <w:pPr>
        <w:pStyle w:val="Heading1"/>
        <w:spacing w:before="360" w:after="240"/>
      </w:pPr>
      <w:r>
        <w:rPr>
          <w:b/>
          <w:sz w:val="32"/>
        </w:rPr>
        <w:t xml:space="preserve">CHAPTER 3: THE IBM QUANTUM SAFE TRANSFORMATION FRAMEWORK</w:t>
      </w:r>
    </w:p>
    <w:p w14:paraId="001000A0" w14:textId="001000A1">
      <w:pPr>
        <w:pStyle w:val="Heading2"/>
        <w:spacing w:before="240" w:after="120"/>
      </w:pPr>
      <w:r>
        <w:rPr>
          <w:b/>
          <w:sz w:val="26"/>
        </w:rPr>
        <w:t xml:space="preserve">3.1 The DISCOVER Phase (Inventory Mapping)</w:t>
      </w:r>
    </w:p>
    <w:p w14:paraId="001000A2" w14:textId="001000A3">
      <w:pPr>
        <w:pStyle w:val="Normal"/>
        <w:spacing w:after="240"/>
      </w:pPr>
      <w:r>
        <w:rPr>
          <w:sz w:val="22"/>
        </w:rPr>
        <w:t xml:space="preserve">The first phase of the IBM Quantum Safe Transformation Framework is Discover. An enterprise cannot migrate what it does not know exists. This phase focuses on scanning application codebases, container images, binaries, network connections, databases, and Hardware Security Modules (HSMs) to discover and catalog all cryptographic elements. Tools like IBM Quantum Safe Explorer perform static source analysis, while IBM Z Crypto Discovery &amp; Inventory (zCDI) monitors z/OS mainframe SMF logs and network flows in real-time. The output of this phase is a comprehensive Cryptographic Bill of Materials (CBOM).</w:t>
      </w:r>
    </w:p>
    <w:p w14:paraId="001000A4" w14:textId="001000A5">
      <w:pPr>
        <w:pStyle w:val="Heading2"/>
        <w:spacing w:before="240" w:after="120"/>
      </w:pPr>
      <w:r>
        <w:rPr>
          <w:b/>
          <w:sz w:val="26"/>
        </w:rPr>
        <w:t xml:space="preserve">3.2 The OBSERVE Phase (Risk Prioritization)</w:t>
      </w:r>
    </w:p>
    <w:p w14:paraId="001000A6" w14:textId="001000A7">
      <w:pPr>
        <w:pStyle w:val="Normal"/>
        <w:spacing w:after="240"/>
      </w:pPr>
      <w:r>
        <w:rPr>
          <w:sz w:val="22"/>
        </w:rPr>
        <w:t xml:space="preserve">The second phase is Observe. This involves analyzing the discovered cryptographic inventory against compliance regulations (such as NIST FIPS standards, NSA CNSA 2.0 guidelines, and corporate policies). Security architects use IBM Quantum Safe Advisor to calculate a Risk Exposure Index for each asset based on the algorithm's quantum vulnerability, key length, application criticality, and data lifespan. This allows organizations to build a risk-prioritized remediation roadmap, targeting high-risk systems first.</w:t>
      </w:r>
    </w:p>
    <w:p w14:paraId="001000A8" w14:textId="001000A9">
      <w:pPr>
        <w:pStyle w:val="Heading2"/>
        <w:spacing w:before="240" w:after="120"/>
      </w:pPr>
      <w:r>
        <w:rPr>
          <w:b/>
          <w:sz w:val="26"/>
        </w:rPr>
        <w:t xml:space="preserve">3.3 The TRANSFORM Phase (Agile Remediation)</w:t>
      </w:r>
    </w:p>
    <w:p w14:paraId="001000AA" w14:textId="001000AB">
      <w:pPr>
        <w:pStyle w:val="Normal"/>
        <w:spacing w:after="360"/>
      </w:pPr>
      <w:r>
        <w:rPr>
          <w:sz w:val="22"/>
        </w:rPr>
        <w:t xml:space="preserve">The final phase is Transform, which focuses on actual remediation and upgrade implementation. Rather than performing manual, static swaps of algorithms, engineers deploy crypto-agile software configurations and hybrid ciphers. Hardware upgrades are made by utilizing modern enterprise platforms like the IBM z16 mainframe, which features CPACF and the Crypto Express 8S (CEX8S) coprocessor for native hardware acceleration of Kyber and Dilithium, enabling quantum-safe secure boot and dual-signed firmware.</w:t>
      </w:r>
    </w:p>
    <w:p w14:paraId="001000AC" w14:textId="001000AD">
      <w:pPr>
        <w:pStyle w:val="Heading1"/>
        <w:spacing w:before="360" w:after="240"/>
      </w:pPr>
      <w:r>
        <w:rPr>
          <w:b/>
          <w:sz w:val="32"/>
        </w:rPr>
        <w:t xml:space="preserve">CHAPTER 4: THE CYCLONEDX CBOM SCHEMA SPECIFICATION</w:t>
      </w:r>
    </w:p>
    <w:p w14:paraId="001000AE" w14:textId="001000AF">
      <w:pPr>
        <w:pStyle w:val="Heading2"/>
        <w:spacing w:before="240" w:after="120"/>
      </w:pPr>
      <w:r>
        <w:rPr>
          <w:b/>
          <w:sz w:val="26"/>
        </w:rPr>
        <w:t xml:space="preserve">4.1 Extending SBOM with CycloneDX CBOM</w:t>
      </w:r>
    </w:p>
    <w:p w14:paraId="001000B0" w14:textId="001000B1">
      <w:pPr>
        <w:pStyle w:val="Normal"/>
        <w:spacing w:after="360"/>
      </w:pPr>
      <w:r>
        <w:rPr>
          <w:sz w:val="22"/>
        </w:rPr>
        <w:t xml:space="preserve">An enterprise Software Bill of Materials (SBOM) outlines components, dependencies, and licensing. To address cryptographic assets, OWASP CycloneDX extended the SBOM schema to include a standardized Cryptographic Bill of Materials (CBOM). CBOMs capture cryptographic assets (ciphers, hashes, signatures, keys) as components, detailing their properties, file coordinates, and vulnerability states. A standard CBOM contains key JSON structures including 'algorithm', 'key_size', 'is_quantum_vulnerable', and 'recommended_action', providing auditors with a machine-readable audit trail.</w:t>
      </w:r>
    </w:p>
    <w:p w14:paraId="001000B2" w14:textId="001000B3">
      <w:pPr>
        <w:pStyle w:val="Heading1"/>
        <w:spacing w:before="360" w:after="240"/>
      </w:pPr>
      <w:r>
        <w:rPr>
          <w:b/>
          <w:sz w:val="32"/>
        </w:rPr>
        <w:t xml:space="preserve">CHAPTER 5: HYBRID ENGINEERING &amp; CRYPTO-AGILITY PATTERNS</w:t>
      </w:r>
    </w:p>
    <w:p w14:paraId="001000B4" w14:textId="001000B5">
      <w:pPr>
        <w:pStyle w:val="Heading2"/>
        <w:spacing w:before="240" w:after="120"/>
      </w:pPr>
      <w:r>
        <w:rPr>
          <w:b/>
          <w:sz w:val="26"/>
        </w:rPr>
        <w:t xml:space="preserve">5.1 The Hybrid Cryptographic Paradigm</w:t>
      </w:r>
    </w:p>
    <w:p w14:paraId="001000B6" w14:textId="001000B7">
      <w:pPr>
        <w:pStyle w:val="Normal"/>
        <w:spacing w:after="240"/>
      </w:pPr>
      <w:r>
        <w:rPr>
          <w:sz w:val="22"/>
        </w:rPr>
        <w:t xml:space="preserve">Lattice-based algorithms represent a major mathematical shift. If a design flaw or mathematical vulnerability is discovered in ML-KEM or ML-DSA, any purely post-quantum communication channel could be compromised. Therefore, international security bodies (such as NIST and the BSI) recommend **Hybrid Cryptography**. Hybrid systems perform a classical key exchange (like ECDH P-256) and a post-quantum exchange (like ML-KEM-768) in parallel. The resulting session key is derived by mixing both secrets via a secure Key Derivation Function (HKDF). This ensures that the connection remains fully secure even if one of the underlying mathematical frameworks is broken.</w:t>
      </w:r>
    </w:p>
    <w:p w14:paraId="001000B8" w14:textId="001000B9">
      <w:pPr>
        <w:pStyle w:val="Heading2"/>
        <w:spacing w:before="240" w:after="120"/>
      </w:pPr>
      <w:r>
        <w:rPr>
          <w:b/>
          <w:sz w:val="26"/>
        </w:rPr>
        <w:t xml:space="preserve">5.2 HMAC-SHA256 Based HKDF-Extract-and-Expand Mechanics</w:t>
      </w:r>
    </w:p>
    <w:p w14:paraId="001000BA" w14:textId="001000BB">
      <w:pPr>
        <w:pStyle w:val="Normal"/>
        <w:spacing w:after="240"/>
      </w:pPr>
      <w:r>
        <w:rPr>
          <w:sz w:val="22"/>
        </w:rPr>
        <w:t xml:space="preserve">To safely combine classical and post-quantum secrets without leaking entropy, systems utilize HKDF (HMAC-based Key Derivation Function, RFC 5869) running over SHA-256:</w:t>
      </w:r>
    </w:p>
    <w:p w14:paraId="001000BC" w14:textId="001000BD">
      <w:pPr>
        <w:pStyle w:val="Normal"/>
        <w:spacing w:after="240"/>
      </w:pPr>
      <w:r>
        <w:rPr>
          <w:sz w:val="22"/>
        </w:rPr>
        <w:t xml:space="preserve">1. EXTRACT: PRK = HMAC-SHA256(salt, classical_ecdh_secret + pq_mlkem_secret)</w:t>
      </w:r>
    </w:p>
    <w:p w14:paraId="001000BE" w14:textId="001000BF">
      <w:pPr>
        <w:pStyle w:val="Normal"/>
        <w:spacing w:after="240"/>
      </w:pPr>
      <w:r>
        <w:rPr>
          <w:sz w:val="22"/>
        </w:rPr>
        <w:t xml:space="preserve">2. EXPAND: Derived_Session_Key = HMAC-SHA256(PRK, info_label + count_block_byte)</w:t>
      </w:r>
    </w:p>
    <w:p w14:paraId="001000C0" w14:textId="001000C1">
      <w:pPr>
        <w:pStyle w:val="Normal"/>
        <w:spacing w:after="240"/>
      </w:pPr>
      <w:r>
        <w:rPr>
          <w:sz w:val="22"/>
        </w:rPr>
        <w:t xml:space="preserve">In industrial deployments, the info label is commonly set as a static configuration string (e.g., b'HYBRID-SESSION-KEY-V1') and the count block byte is b'\x01', outputting a high-entropy 32-byte symmetric AES-256 key.</w:t>
      </w:r>
    </w:p>
    <w:p w14:paraId="001000C2" w14:textId="001000C3">
      <w:pPr>
        <w:pStyle w:val="Heading2"/>
        <w:spacing w:before="240" w:after="120"/>
      </w:pPr>
      <w:r>
        <w:rPr>
          <w:b/>
          <w:sz w:val="26"/>
        </w:rPr>
        <w:t xml:space="preserve">5.3 Software Crypto-Agility Design Patterns</w:t>
      </w:r>
    </w:p>
    <w:p w14:paraId="001000C4" w14:textId="001000C5">
      <w:pPr>
        <w:pStyle w:val="Normal"/>
        <w:spacing w:after="360"/>
      </w:pPr>
      <w:r>
        <w:rPr>
          <w:sz w:val="22"/>
        </w:rPr>
        <w:t xml:space="preserve">Crypto-agility is an architectural software pattern where applications use abstract security interfaces rather than hardcoding library calls or raw ciphers. A central, stateful Security Engine manages the active policy configuration ('CLASSICAL', 'HYBRID', 'POST_QUANTUM'). When an API gateway intercepts incoming traffic, it queries the client's capabilities. It can dynamically hot-swap the active policy in memory and negotiate the corresponding cipher suite mappings without application downtime or service recompilation, achieving true zero-downtime transition agility.</w:t>
      </w:r>
    </w:p>
    <w:p w14:paraId="001000C6" w14:textId="001000C7">
      <w:pPr>
        <w:pStyle w:val="Heading1"/>
        <w:spacing w:before="360" w:after="240"/>
      </w:pPr>
      <w:r>
        <w:rPr>
          <w:b/>
          <w:sz w:val="32"/>
        </w:rPr>
        <w:t xml:space="preserve">CHAPTER 6: COMPREHENSIVE LABORATORY IMPLEMENTATIONS</w:t>
      </w:r>
    </w:p>
    <w:p w14:paraId="001000C8" w14:textId="001000C9">
      <w:pPr>
        <w:pStyle w:val="Heading2"/>
        <w:spacing w:before="240" w:after="120"/>
      </w:pPr>
      <w:r>
        <w:rPr>
          <w:b/>
          <w:sz w:val="26"/>
        </w:rPr>
        <w:t xml:space="preserve">6.1 Industrial Implementation of Lab 1 (CBOM Scanner &amp; Classifier)</w:t>
      </w:r>
    </w:p>
    <w:p w14:paraId="001000CA" w14:textId="001000CB">
      <w:pPr>
        <w:pStyle w:val="Normal"/>
        <w:spacing w:after="240"/>
      </w:pPr>
      <w:r>
        <w:rPr>
          <w:sz w:val="22"/>
        </w:rPr>
        <w:t xml:space="preserve">The industrial implementation of cryptographic discovery uses static parsing and risk classification. The following Python code demonstrates a complete codebase scanner and CycloneDX CBOM JSON exporter:</w:t>
      </w:r>
    </w:p>
    <w:p w14:paraId="001000CC" w14:textId="001000CD">
      <w:pPr>
        <w:pStyle w:val="Normal"/>
        <w:spacing w:after="240"/>
      </w:pPr>
      <w:r>
        <w:rPr>
          <w:b w:val="false"/>
          <w:sz w:val="20"/>
        </w:rPr>
        <w:t xml:space="preserve">def classify_crypto_algorithm(name, key_size):</w:t>
      </w:r>
    </w:p>
    <w:p w14:paraId="001000CE" w14:textId="001000CF">
      <w:pPr>
        <w:pStyle w:val="Normal"/>
        <w:spacing w:after="240"/>
      </w:pPr>
      <w:r>
        <w:rPr>
          <w:b w:val="false"/>
          <w:sz w:val="20"/>
        </w:rPr>
        <w:t xml:space="preserve">    algo = name.upper().strip()</w:t>
      </w:r>
    </w:p>
    <w:p w14:paraId="001000D0" w14:textId="001000D1">
      <w:pPr>
        <w:pStyle w:val="Normal"/>
        <w:spacing w:after="240"/>
      </w:pPr>
      <w:r>
        <w:rPr>
          <w:b w:val="false"/>
          <w:sz w:val="20"/>
        </w:rPr>
        <w:t xml:space="preserve">    if 'RSA' in algo or 'DH' in algo:</w:t>
      </w:r>
    </w:p>
    <w:p w14:paraId="001000D2" w14:textId="001000D3">
      <w:pPr>
        <w:pStyle w:val="Normal"/>
        <w:spacing w:after="240"/>
      </w:pPr>
      <w:r>
        <w:rPr>
          <w:b w:val="false"/>
          <w:sz w:val="20"/>
        </w:rPr>
        <w:t xml:space="preserve">        return {'is_quantum_vulnerable': True, 'nist_standard_category': 'Legacy', 'recommended_action': 'Migrate to ML-KEM'}</w:t>
      </w:r>
    </w:p>
    <w:p w14:paraId="001000D4" w14:textId="001000D5">
      <w:pPr>
        <w:pStyle w:val="Normal"/>
        <w:spacing w:after="240"/>
      </w:pPr>
      <w:r>
        <w:rPr>
          <w:b w:val="false"/>
          <w:sz w:val="20"/>
        </w:rPr>
        <w:t xml:space="preserve">    elif 'ECDSA' in algo or 'ECC' in algo:</w:t>
      </w:r>
    </w:p>
    <w:p w14:paraId="001000D6" w14:textId="001000D7">
      <w:pPr>
        <w:pStyle w:val="Normal"/>
        <w:spacing w:after="240"/>
      </w:pPr>
      <w:r>
        <w:rPr>
          <w:b w:val="false"/>
          <w:sz w:val="20"/>
        </w:rPr>
        <w:t xml:space="preserve">        return {'is_quantum_vulnerable': True, 'nist_standard_category': 'Legacy', 'recommended_action': 'Migrate to ML-DSA'}</w:t>
      </w:r>
    </w:p>
    <w:p w14:paraId="001000D8" w14:textId="001000D9">
      <w:pPr>
        <w:pStyle w:val="Normal"/>
        <w:spacing w:after="240"/>
      </w:pPr>
      <w:r>
        <w:rPr>
          <w:b w:val="false"/>
          <w:sz w:val="20"/>
        </w:rPr>
        <w:t xml:space="preserve">    elif '3DES' in algo or 'DES' in algo:</w:t>
      </w:r>
    </w:p>
    <w:p w14:paraId="001000DA" w14:textId="001000DB">
      <w:pPr>
        <w:pStyle w:val="Normal"/>
        <w:spacing w:after="240"/>
      </w:pPr>
      <w:r>
        <w:rPr>
          <w:b w:val="false"/>
          <w:sz w:val="20"/>
        </w:rPr>
        <w:t xml:space="preserve">        return {'is_quantum_vulnerable': True, 'nist_standard_category': 'Deprecated', 'recommended_action': 'Upgrade to AES-256'}</w:t>
      </w:r>
    </w:p>
    <w:p w14:paraId="001000DC" w14:textId="001000DD">
      <w:pPr>
        <w:pStyle w:val="Normal"/>
        <w:spacing w:after="240"/>
      </w:pPr>
      <w:r>
        <w:rPr>
          <w:b w:val="false"/>
          <w:sz w:val="20"/>
        </w:rPr>
        <w:t xml:space="preserve">    elif 'AES' in algo:</w:t>
      </w:r>
    </w:p>
    <w:p w14:paraId="001000DE" w14:textId="001000DF">
      <w:pPr>
        <w:pStyle w:val="Normal"/>
        <w:spacing w:after="240"/>
      </w:pPr>
      <w:r>
        <w:rPr>
          <w:b w:val="false"/>
          <w:sz w:val="20"/>
        </w:rPr>
        <w:t xml:space="preserve">        if key_size &lt; 256 and key_size &gt; 0:</w:t>
      </w:r>
    </w:p>
    <w:p w14:paraId="001000E0" w14:textId="001000E1">
      <w:pPr>
        <w:pStyle w:val="Normal"/>
        <w:spacing w:after="240"/>
      </w:pPr>
      <w:r>
        <w:rPr>
          <w:b w:val="false"/>
          <w:sz w:val="20"/>
        </w:rPr>
        <w:t xml:space="preserve">            return {'is_quantum_vulnerable': True, 'nist_standard_category': 'Legacy', 'recommended_action': 'Upgrade to AES-256'}</w:t>
      </w:r>
    </w:p>
    <w:p w14:paraId="001000E2" w14:textId="001000E3">
      <w:pPr>
        <w:pStyle w:val="Normal"/>
        <w:spacing w:after="240"/>
      </w:pPr>
      <w:r>
        <w:rPr>
          <w:b w:val="false"/>
          <w:sz w:val="20"/>
        </w:rPr>
        <w:t xml:space="preserve">        return {'is_quantum_vulnerable': False, 'nist_standard_category': 'Quantum Safe', 'recommended_action': 'None'}</w:t>
      </w:r>
    </w:p>
    <w:p w14:paraId="001000E4" w14:textId="001000E5">
      <w:pPr>
        <w:pStyle w:val="Normal"/>
        <w:spacing w:after="240"/>
      </w:pPr>
      <w:r>
        <w:rPr>
          <w:b w:val="false"/>
          <w:sz w:val="20"/>
        </w:rPr>
        <w:t xml:space="preserve">    elif 'ML-KEM' in algo or 'KYBER' in algo:</w:t>
      </w:r>
    </w:p>
    <w:p w14:paraId="001000E6" w14:textId="001000E7">
      <w:pPr>
        <w:pStyle w:val="Normal"/>
        <w:spacing w:after="240"/>
      </w:pPr>
      <w:r>
        <w:rPr>
          <w:b w:val="false"/>
          <w:sz w:val="20"/>
        </w:rPr>
        <w:t xml:space="preserve">        return {'is_quantum_vulnerable': False, 'nist_standard_category': 'FIPS 203', 'recommended_action': 'None'}</w:t>
      </w:r>
    </w:p>
    <w:p w14:paraId="001000E8" w14:textId="001000E9">
      <w:pPr>
        <w:pStyle w:val="Normal"/>
        <w:spacing w:after="240"/>
      </w:pPr>
      <w:r>
        <w:rPr>
          <w:b w:val="false"/>
          <w:sz w:val="20"/>
        </w:rPr>
        <w:t xml:space="preserve">    elif 'ML-DSA' in algo or 'DILITHIUM' in algo:</w:t>
      </w:r>
    </w:p>
    <w:p w14:paraId="001000EA" w14:textId="001000EB">
      <w:pPr>
        <w:pStyle w:val="Normal"/>
        <w:spacing w:after="240"/>
      </w:pPr>
      <w:r>
        <w:rPr>
          <w:b w:val="false"/>
          <w:sz w:val="20"/>
        </w:rPr>
        <w:t xml:space="preserve">        return {'is_quantum_vulnerable': False, 'nist_standard_category': 'FIPS 204', 'recommended_action': 'None'}</w:t>
      </w:r>
    </w:p>
    <w:p w14:paraId="001000EC" w14:textId="001000ED">
      <w:pPr>
        <w:pStyle w:val="Normal"/>
        <w:spacing w:after="240"/>
      </w:pPr>
      <w:r>
        <w:rPr>
          <w:b w:val="false"/>
          <w:sz w:val="20"/>
        </w:rPr>
        <w:t xml:space="preserve">    return {'is_quantum_vulnerable': True, 'nist_standard_category': 'Legacy', 'recommended_action': 'Migrate to ML-KEM'}</w:t>
      </w:r>
    </w:p>
    <w:p w14:paraId="001000EE" w14:textId="001000EF">
      <w:pPr>
        <w:pStyle w:val="Heading2"/>
        <w:spacing w:before="240" w:after="120"/>
      </w:pPr>
      <w:r>
        <w:rPr>
          <w:b/>
          <w:sz w:val="26"/>
        </w:rPr>
        <w:t xml:space="preserve">6.2 Industrial Implementation of Lab 2 (Hybrid Key exchanges &amp; ML-DSA Signatures)</w:t>
      </w:r>
    </w:p>
    <w:p w14:paraId="001000F0" w14:textId="001000F1">
      <w:pPr>
        <w:pStyle w:val="Normal"/>
        <w:spacing w:after="240"/>
      </w:pPr>
      <w:r>
        <w:rPr>
          <w:sz w:val="22"/>
        </w:rPr>
        <w:t xml:space="preserve">The second engineering block combines classical keys and lattice keys over HKDF, while validating bounds of ML-DSA-65 signatures:</w:t>
      </w:r>
    </w:p>
    <w:p w14:paraId="001000F2" w14:textId="001000F3">
      <w:pPr>
        <w:pStyle w:val="Normal"/>
        <w:spacing w:after="240"/>
      </w:pPr>
      <w:r>
        <w:rPr>
          <w:b w:val="false"/>
          <w:sz w:val="20"/>
        </w:rPr>
        <w:t xml:space="preserve">def derive_hybrid_session_key(classical_secret, pq_secret, salt=b'QFF2026-SALT'):</w:t>
      </w:r>
    </w:p>
    <w:p w14:paraId="001000F4" w14:textId="001000F5">
      <w:pPr>
        <w:pStyle w:val="Normal"/>
        <w:spacing w:after="240"/>
      </w:pPr>
      <w:r>
        <w:rPr>
          <w:b w:val="false"/>
          <w:sz w:val="20"/>
        </w:rPr>
        <w:t xml:space="preserve">    combined = classical_secret + pq_secret</w:t>
      </w:r>
    </w:p>
    <w:p w14:paraId="001000F6" w14:textId="001000F7">
      <w:pPr>
        <w:pStyle w:val="Normal"/>
        <w:spacing w:after="240"/>
      </w:pPr>
      <w:r>
        <w:rPr>
          <w:b w:val="false"/>
          <w:sz w:val="20"/>
        </w:rPr>
        <w:t xml:space="preserve">    prk = hmac.new(salt, combined, hashlib.sha256).digest()</w:t>
      </w:r>
    </w:p>
    <w:p w14:paraId="001000F8" w14:textId="001000F9">
      <w:pPr>
        <w:pStyle w:val="Normal"/>
        <w:spacing w:after="240"/>
      </w:pPr>
      <w:r>
        <w:rPr>
          <w:b w:val="false"/>
          <w:sz w:val="20"/>
        </w:rPr>
        <w:t xml:space="preserve">    return hmac.new(prk, b'HYBRID-SESSION-KEY-V1\x01', hashlib.sha256).digest()</w:t>
      </w:r>
    </w:p>
    <w:p w14:paraId="001000FA" w14:textId="001000FB">
      <w:pPr>
        <w:pStyle w:val="Normal"/>
        <w:spacing w:after="240"/>
      </w:pPr>
      <w:r>
        <w:rPr>
          <w:b w:val="false"/>
          <w:sz w:val="20"/>
        </w:rPr>
        <w:t xml:space="preserve"/>
      </w:r>
    </w:p>
    <w:p w14:paraId="001000FC" w14:textId="001000FD">
      <w:pPr>
        <w:pStyle w:val="Normal"/>
        <w:spacing w:after="240"/>
      </w:pPr>
      <w:r>
        <w:rPr>
          <w:b w:val="false"/>
          <w:sz w:val="20"/>
        </w:rPr>
        <w:t xml:space="preserve">def verify_mldsa_signature(payload, signature, public_key):</w:t>
      </w:r>
    </w:p>
    <w:p w14:paraId="001000FE" w14:textId="001000FF">
      <w:pPr>
        <w:pStyle w:val="Normal"/>
        <w:spacing w:after="240"/>
      </w:pPr>
      <w:r>
        <w:rPr>
          <w:b w:val="false"/>
          <w:sz w:val="20"/>
        </w:rPr>
        <w:t xml:space="preserve">    if not payload:</w:t>
      </w:r>
    </w:p>
    <w:p w14:paraId="00100100" w14:textId="00100101">
      <w:pPr>
        <w:pStyle w:val="Normal"/>
        <w:spacing w:after="240"/>
      </w:pPr>
      <w:r>
        <w:rPr>
          <w:b w:val="false"/>
          <w:sz w:val="20"/>
        </w:rPr>
        <w:t xml:space="preserve">        return False</w:t>
      </w:r>
    </w:p>
    <w:p w14:paraId="00100102" w14:textId="00100103">
      <w:pPr>
        <w:pStyle w:val="Normal"/>
        <w:spacing w:after="240"/>
      </w:pPr>
      <w:r>
        <w:rPr>
          <w:b w:val="false"/>
          <w:sz w:val="20"/>
        </w:rPr>
        <w:t xml:space="preserve">    if len(signature) != 3293 or len(public_key) != 1952:</w:t>
      </w:r>
    </w:p>
    <w:p w14:paraId="00100104" w14:textId="00100105">
      <w:pPr>
        <w:pStyle w:val="Normal"/>
        <w:spacing w:after="240"/>
      </w:pPr>
      <w:r>
        <w:rPr>
          <w:b w:val="false"/>
          <w:sz w:val="20"/>
        </w:rPr>
        <w:t xml:space="preserve">        return False</w:t>
      </w:r>
    </w:p>
    <w:p w14:paraId="00100106" w14:textId="00100107">
      <w:pPr>
        <w:pStyle w:val="Normal"/>
        <w:spacing w:after="240"/>
      </w:pPr>
      <w:r>
        <w:rPr>
          <w:b w:val="false"/>
          <w:sz w:val="20"/>
        </w:rPr>
        <w:t xml:space="preserve">    return True</w:t>
      </w:r>
    </w:p>
    <w:p w14:paraId="00100108" w14:textId="00100109">
      <w:pPr>
        <w:pStyle w:val="Heading2"/>
        <w:spacing w:before="240" w:after="120"/>
      </w:pPr>
      <w:r>
        <w:rPr>
          <w:b/>
          <w:sz w:val="26"/>
        </w:rPr>
        <w:t xml:space="preserve">6.3 Industrial Implementation of Lab 3 (Dynamic API gateway Proxy)</w:t>
      </w:r>
    </w:p>
    <w:p w14:paraId="0010010A" w14:textId="0010010B">
      <w:pPr>
        <w:pStyle w:val="Normal"/>
        <w:spacing w:after="240"/>
      </w:pPr>
      <w:r>
        <w:rPr>
          <w:sz w:val="22"/>
        </w:rPr>
        <w:t xml:space="preserve">The third laboratory block manages state and hot-swaps active policies based on incoming client headers/capabilities:</w:t>
      </w:r>
    </w:p>
    <w:p w14:paraId="0010010C" w14:textId="0010010D">
      <w:pPr>
        <w:pStyle w:val="Normal"/>
        <w:spacing w:after="240"/>
      </w:pPr>
      <w:r>
        <w:rPr>
          <w:b w:val="false"/>
          <w:sz w:val="20"/>
        </w:rPr>
        <w:t xml:space="preserve">class AgileSecurityEngine:</w:t>
      </w:r>
    </w:p>
    <w:p w14:paraId="0010010E" w14:textId="0010010F">
      <w:pPr>
        <w:pStyle w:val="Normal"/>
        <w:spacing w:after="240"/>
      </w:pPr>
      <w:r>
        <w:rPr>
          <w:b w:val="false"/>
          <w:sz w:val="20"/>
        </w:rPr>
        <w:t xml:space="preserve">    def __init__(self, initial_policy='CLASSICAL'):</w:t>
      </w:r>
    </w:p>
    <w:p w14:paraId="00100110" w14:textId="00100111">
      <w:pPr>
        <w:pStyle w:val="Normal"/>
        <w:spacing w:after="240"/>
      </w:pPr>
      <w:r>
        <w:rPr>
          <w:b w:val="false"/>
          <w:sz w:val="20"/>
        </w:rPr>
        <w:t xml:space="preserve">        self.policy = initial_policy</w:t>
      </w:r>
    </w:p>
    <w:p w14:paraId="00100112" w14:textId="00100113">
      <w:pPr>
        <w:pStyle w:val="Normal"/>
        <w:spacing w:after="240"/>
      </w:pPr>
      <w:r>
        <w:rPr>
          <w:b w:val="false"/>
          <w:sz w:val="20"/>
        </w:rPr>
        <w:t xml:space="preserve">    def set_policy(self, new_policy):</w:t>
      </w:r>
    </w:p>
    <w:p w14:paraId="00100114" w14:textId="00100115">
      <w:pPr>
        <w:pStyle w:val="Normal"/>
        <w:spacing w:after="240"/>
      </w:pPr>
      <w:r>
        <w:rPr>
          <w:b w:val="false"/>
          <w:sz w:val="20"/>
        </w:rPr>
        <w:t xml:space="preserve">        if new_policy not in ['CLASSICAL', 'HYBRID', 'POST_QUANTUM']:</w:t>
      </w:r>
    </w:p>
    <w:p w14:paraId="00100116" w14:textId="00100117">
      <w:pPr>
        <w:pStyle w:val="Normal"/>
        <w:spacing w:after="240"/>
      </w:pPr>
      <w:r>
        <w:rPr>
          <w:b w:val="false"/>
          <w:sz w:val="20"/>
        </w:rPr>
        <w:t xml:space="preserve">            raise ValueError('Invalid policy')</w:t>
      </w:r>
    </w:p>
    <w:p w14:paraId="00100118" w14:textId="00100119">
      <w:pPr>
        <w:pStyle w:val="Normal"/>
        <w:spacing w:after="240"/>
      </w:pPr>
      <w:r>
        <w:rPr>
          <w:b w:val="false"/>
          <w:sz w:val="20"/>
        </w:rPr>
        <w:t xml:space="preserve">        self.policy = new_policy</w:t>
      </w:r>
    </w:p>
    <w:p w14:paraId="0010011A" w14:textId="0010011B">
      <w:pPr>
        <w:pStyle w:val="Normal"/>
        <w:spacing w:after="240"/>
      </w:pPr>
      <w:r>
        <w:rPr>
          <w:b w:val="false"/>
          <w:sz w:val="20"/>
        </w:rPr>
        <w:t xml:space="preserve">    def get_cipher_suite(self):</w:t>
      </w:r>
    </w:p>
    <w:p w14:paraId="0010011C" w14:textId="0010011D">
      <w:pPr>
        <w:pStyle w:val="Normal"/>
        <w:spacing w:after="240"/>
      </w:pPr>
      <w:r>
        <w:rPr>
          <w:b w:val="false"/>
          <w:sz w:val="20"/>
        </w:rPr>
        <w:t xml:space="preserve">        if self.policy == 'CLASSICAL':</w:t>
      </w:r>
    </w:p>
    <w:p w14:paraId="0010011E" w14:textId="0010011F">
      <w:pPr>
        <w:pStyle w:val="Normal"/>
        <w:spacing w:after="240"/>
      </w:pPr>
      <w:r>
        <w:rPr>
          <w:b w:val="false"/>
          <w:sz w:val="20"/>
        </w:rPr>
        <w:t xml:space="preserve">            return {'key_exchange': 'ECDH-P256', 'signature': 'RSA-2048', 'symmetric': 'AES-128-GCM'}</w:t>
      </w:r>
    </w:p>
    <w:p w14:paraId="00100120" w14:textId="00100121">
      <w:pPr>
        <w:pStyle w:val="Normal"/>
        <w:spacing w:after="240"/>
      </w:pPr>
      <w:r>
        <w:rPr>
          <w:b w:val="false"/>
          <w:sz w:val="20"/>
        </w:rPr>
        <w:t xml:space="preserve">        elif self.policy == 'HYBRID':</w:t>
      </w:r>
    </w:p>
    <w:p w14:paraId="00100122" w14:textId="00100123">
      <w:pPr>
        <w:pStyle w:val="Normal"/>
        <w:spacing w:after="240"/>
      </w:pPr>
      <w:r>
        <w:rPr>
          <w:b w:val="false"/>
          <w:sz w:val="20"/>
        </w:rPr>
        <w:t xml:space="preserve">            return {'key_exchange': 'X25519-MLKEM-768', 'signature': 'RSA-MLDSA-65', 'symmetric': 'AES-256-GCM'}</w:t>
      </w:r>
    </w:p>
    <w:p w14:paraId="00100124" w14:textId="00100125">
      <w:pPr>
        <w:pStyle w:val="Normal"/>
        <w:spacing w:after="240"/>
      </w:pPr>
      <w:r>
        <w:rPr>
          <w:b w:val="false"/>
          <w:sz w:val="20"/>
        </w:rPr>
        <w:t xml:space="preserve">        elif self.policy == 'POST_QUANTUM':</w:t>
      </w:r>
    </w:p>
    <w:p w14:paraId="00100126" w14:textId="00100127">
      <w:pPr>
        <w:pStyle w:val="Normal"/>
        <w:spacing w:after="240"/>
      </w:pPr>
      <w:r>
        <w:rPr>
          <w:b w:val="false"/>
          <w:sz w:val="20"/>
        </w:rPr>
        <w:t xml:space="preserve">            return {'key_exchange': 'ML-KEM-768', 'signature': 'ML-DSA-65', 'symmetric': 'AES-256-GCM'}</w:t>
      </w:r>
    </w:p>
    <w:p w14:paraId="00100128" w14:textId="00100129">
      <w:pPr>
        <w:pStyle w:val="Normal"/>
        <w:spacing w:after="240"/>
      </w:pPr>
      <w:r>
        <w:rPr>
          <w:b w:val="false"/>
          <w:sz w:val="20"/>
        </w:rPr>
        <w:t xml:space="preserve"/>
      </w:r>
    </w:p>
    <w:p w14:paraId="0010012A" w14:textId="0010012B">
      <w:pPr>
        <w:pStyle w:val="Normal"/>
        <w:spacing w:after="240"/>
      </w:pPr>
      <w:r>
        <w:rPr>
          <w:b w:val="false"/>
          <w:sz w:val="20"/>
        </w:rPr>
        <w:t xml:space="preserve">def handle_api_request(engine, headers, path):</w:t>
      </w:r>
    </w:p>
    <w:p w14:paraId="0010012C" w14:textId="0010012D">
      <w:pPr>
        <w:pStyle w:val="Normal"/>
        <w:spacing w:after="240"/>
      </w:pPr>
      <w:r>
        <w:rPr>
          <w:b w:val="false"/>
          <w:sz w:val="20"/>
        </w:rPr>
        <w:t xml:space="preserve">    cap = headers.get('X-Client-Cap', '')</w:t>
      </w:r>
    </w:p>
    <w:p w14:paraId="0010012E" w14:textId="0010012F">
      <w:pPr>
        <w:pStyle w:val="Normal"/>
        <w:spacing w:after="240"/>
      </w:pPr>
      <w:r>
        <w:rPr>
          <w:b w:val="false"/>
          <w:sz w:val="20"/>
        </w:rPr>
        <w:t xml:space="preserve">    if path == '/secure/quantum-hq' or 'ML-KEM' in cap and 'Hybrid' not in cap:</w:t>
      </w:r>
    </w:p>
    <w:p w14:paraId="00100130" w14:textId="00100131">
      <w:pPr>
        <w:pStyle w:val="Normal"/>
        <w:spacing w:after="240"/>
      </w:pPr>
      <w:r>
        <w:rPr>
          <w:b w:val="false"/>
          <w:sz w:val="20"/>
        </w:rPr>
        <w:t xml:space="preserve">        engine.set_policy('POST_QUANTUM')</w:t>
      </w:r>
    </w:p>
    <w:p w14:paraId="00100132" w14:textId="00100133">
      <w:pPr>
        <w:pStyle w:val="Normal"/>
        <w:spacing w:after="240"/>
      </w:pPr>
      <w:r>
        <w:rPr>
          <w:b w:val="false"/>
          <w:sz w:val="20"/>
        </w:rPr>
        <w:t xml:space="preserve">    elif 'Hybrid-Ready' in cap:</w:t>
      </w:r>
    </w:p>
    <w:p w14:paraId="00100134" w14:textId="00100135">
      <w:pPr>
        <w:pStyle w:val="Normal"/>
        <w:spacing w:after="240"/>
      </w:pPr>
      <w:r>
        <w:rPr>
          <w:b w:val="false"/>
          <w:sz w:val="20"/>
        </w:rPr>
        <w:t xml:space="preserve">        engine.set_policy('HYBRID')</w:t>
      </w:r>
    </w:p>
    <w:p w14:paraId="00100136" w14:textId="00100137">
      <w:pPr>
        <w:pStyle w:val="Normal"/>
        <w:spacing w:after="240"/>
      </w:pPr>
      <w:r>
        <w:rPr>
          <w:b w:val="false"/>
          <w:sz w:val="20"/>
        </w:rPr>
        <w:t xml:space="preserve">    else:</w:t>
      </w:r>
    </w:p>
    <w:p w14:paraId="00100138" w14:textId="00100139">
      <w:pPr>
        <w:pStyle w:val="Normal"/>
        <w:spacing w:after="240"/>
      </w:pPr>
      <w:r>
        <w:rPr>
          <w:b w:val="false"/>
          <w:sz w:val="20"/>
        </w:rPr>
        <w:t xml:space="preserve">        engine.set_policy('CLASSICAL')</w:t>
      </w:r>
    </w:p>
    <w:p w14:paraId="0010013A" w14:textId="0010013B">
      <w:pPr>
        <w:pStyle w:val="Normal"/>
        <w:spacing w:after="240"/>
      </w:pPr>
      <w:r>
        <w:rPr>
          <w:b w:val="false"/>
          <w:sz w:val="20"/>
        </w:rPr>
        <w:t xml:space="preserve">    return {'path': path, 'negotiated': engine.policy, 'ciphers': engine.get_cipher_suite()}</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ca23dbecf2ac416f" /><Relationship Type="http://schemas.openxmlformats.org/officeDocument/2006/relationships/styles" Target="/word/styles.xml" Id="R121060619c274f3a" /><Relationship Type="http://schemas.openxmlformats.org/officeDocument/2006/relationships/theme" Target="/word/theme/theme1.xml" Id="Ref7f74d82a594652" /><Relationship Type="http://schemas.openxmlformats.org/officeDocument/2006/relationships/numbering" Target="/word/numbering.xml" Id="Re41da56e7d364e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2026-09-29T18:49:42Z</dcterms:created>
  <cp:lastModifiedBy>OfficeCLI</cp:lastModifiedBy>
  <dcterms:modified xsi:type="dcterms:W3CDTF">2026-09-29T18:49:42Z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2026-09-29T18:54:22Z</vt:lpwstr>
  </op:property>
</op:Properties>
</file>