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NoTitle V1 Optimized Implementation Blueprint</w:t>
      </w:r>
    </w:p>
    <w:p>
      <w:pPr>
        <w:pStyle w:val="Subtitle"/>
      </w:pPr>
      <w:r>
        <w:t>Business requirements technology costs and delivery plan</w:t>
      </w:r>
    </w:p>
    <w:p>
      <w:pPr>
        <w:spacing w:after="440"/>
      </w:pPr>
      <w:r>
        <w:t>Version 3.2 | India first | 9 October 2026 | Prepared for Vivek Kumar</w:t>
      </w:r>
    </w:p>
    <w:p>
      <w:r>
        <w:t>Build NoTitle as an India-first adult workplace conversation service using a static SvelteKit frontend, one Go backend, PostgreSQL and a separate coturn relay. Require at least 200 connected users with 25 simultaneous audio calls. Start validation on a 2-vCPU / 4-GiB application VM and a 1-vCPU / 1-GiB relay. Budget INR 4100 per month or INR 49200 annually for technical operations, excluding payment fees and business labor. Design the responsive website for mobile first, with full desktop support.</w:t>
      </w:r>
    </w:p>
    <w:p>
      <w:r>
        <w:t>This revision reevaluates the technology and providers, defines cost and load scenarios, and preserves the finalized Guest, Free and Premium features. The recommended stack remains deliberately small. Cashfree is the first payment provider to seek approval from; live checkout depends on written acceptance of the actual product. The architecture is designed for production, but its capacity and readiness must be demonstrated by implementation and release tests.</w:t>
      </w:r>
    </w:p>
    <w:p>
      <w:r>
        <w:t>The main product promise is no user-accessible conversation history. Ordinary text is designed to remain in bounded memory, subject to the retention assessment in Section 13. Audio is not recorded by NoTitle. Never promise complete untraceability, guaranteed professional identities or that another participant cannot save a conversation.</w:t>
      </w:r>
    </w:p>
    <w:p>
      <w:r>
        <w:br w:type="page"/>
      </w:r>
    </w:p>
    <w:p>
      <w:pPr>
        <w:pStyle w:val="Heading1"/>
      </w:pPr>
      <w:r>
        <w:t>Contents</w:t>
      </w:r>
    </w:p>
    <w:p>
      <w:r>
        <w:t>1 Business context and architecture decision</w:t>
      </w:r>
    </w:p>
    <w:p>
      <w:r>
        <w:t>2 Technology and provider comparison</w:t>
      </w:r>
    </w:p>
    <w:p>
      <w:r>
        <w:t>3 Costs assumptions and operating scenarios</w:t>
      </w:r>
    </w:p>
    <w:p>
      <w:r>
        <w:t>4 Decisions and requirements audit</w:t>
      </w:r>
    </w:p>
    <w:p>
      <w:r>
        <w:t>5 Product design and screen behavior</w:t>
      </w:r>
    </w:p>
    <w:p>
      <w:r>
        <w:t>6 User workflows and lifecycle rules</w:t>
      </w:r>
    </w:p>
    <w:p>
      <w:r>
        <w:t>7 Architecture and responsibility boundaries</w:t>
      </w:r>
    </w:p>
    <w:p>
      <w:r>
        <w:t>8 Matchmaking implementation</w:t>
      </w:r>
    </w:p>
    <w:p>
      <w:r>
        <w:t>9 Realtime and audio contracts</w:t>
      </w:r>
    </w:p>
    <w:p>
      <w:r>
        <w:t>10 Reporting blocking and operations</w:t>
      </w:r>
    </w:p>
    <w:p>
      <w:r>
        <w:t>11 Data model and interface specification</w:t>
      </w:r>
    </w:p>
    <w:p>
      <w:r>
        <w:t>12 Payments entitlements and refunds</w:t>
      </w:r>
    </w:p>
    <w:p>
      <w:r>
        <w:t>13 Security privacy and Indian compliance</w:t>
      </w:r>
    </w:p>
    <w:p>
      <w:r>
        <w:t>14 Infrastructure deployment and disaster recovery</w:t>
      </w:r>
    </w:p>
    <w:p>
      <w:r>
        <w:t>15 Verification and measurable release gates</w:t>
      </w:r>
    </w:p>
    <w:p>
      <w:r>
        <w:t>16 Ten implementation phases</w:t>
      </w:r>
    </w:p>
    <w:p>
      <w:r>
        <w:t>17 Maintenance and scaling path</w:t>
      </w:r>
    </w:p>
    <w:p>
      <w:r>
        <w:t>18 Launch prerequisites and final checklist</w:t>
      </w:r>
    </w:p>
    <w:p>
      <w:r>
        <w:t>19 Primary references</w:t>
      </w:r>
    </w:p>
    <w:p>
      <w:r>
        <w:br w:type="page"/>
      </w:r>
    </w:p>
    <w:p>
      <w:pPr>
        <w:pStyle w:val="Heading1"/>
      </w:pPr>
      <w:r>
        <w:t>1 Business context and architecture decision</w:t>
      </w:r>
    </w:p>
    <w:p>
      <w:pPr>
        <w:pStyle w:val="Heading2"/>
      </w:pPr>
      <w:r>
        <w:t>1.1 The business and the users</w:t>
      </w:r>
    </w:p>
    <w:p>
      <w:r>
        <w:t>NoTitle is an India-first, English-language service for adults to discuss workplace culture, office politics, careers, hiring and industry experiences through one-to-one pseudonymous conversations. It is not a professional verification service. The product offers guest entry, optional accounts and paid matching controls without public profiles, a social feed or a user-accessible conversation archive.</w:t>
      </w:r>
    </w:p>
    <w:p>
      <w:r>
        <w:t>Guest and Free users provide the broad conversation population. Premium monetizes optional matching preferences through fixed-duration purchases, not a separate paid population or automatic renewal. Gender is mandatory and self-declared; Premium gender preferences are hard mutual constraints. Professional choices make only a tiny tie-break contribution and never add a wait stage. Mutual guest friendships and free consent-based audio remain part of V1.</w:t>
      </w:r>
    </w:p>
    <w:p>
      <w:r>
        <w:t>The commercial bottleneck can be simultaneous compatible people, not server power. Begin audience acquisition with a supervised cohort and clearly published active hours. Measure successful conversations, wait/abandonment, repeat use, complaints, paid conversion and voice minutes. Do not fabricate participants, promise a match, or imply a paid plan verifies gender/profession. Revenue is not yet established, so avoid recurring infrastructure that depends on future scale to be economical.</w:t>
      </w:r>
    </w:p>
    <w:p>
      <w:pPr>
        <w:pStyle w:val="Heading2"/>
      </w:pPr>
      <w:r>
        <w:t>1.2 Final recommendation</w:t>
      </w:r>
    </w:p>
    <w:p>
      <w:r>
        <w:t>Keep the Go modular monolith, static SvelteKit frontend and PostgreSQL. Use a 2-vCPU / 4-GiB application VM plus a separate 1-vCPU / 1-GiB voice relay as the baseline candidate for the required 200-connected / 25-call workload. Replace the USD 5 storage minimum with usage-based S3 storage in Mumbai. Remove all outgoing user-email integration. Build with open-source tools and local or temporary staging.</w:t>
      </w:r>
    </w:p>
    <w:p>
      <w:r>
        <w:t>Estimated technical cash expense is INR 3787.72 per month before reserve and gateway fees. Set aside INR 4100 per month, or INR 49200 for a full year, using Section 3 assumptions. A one-provider DigitalOcean deployment with Spaces is about INR 4400/month or INR 52800/year. Its USD 3 monthly premium may be worthwhile if operating a second provider account consumes more time than it saves.</w:t>
      </w:r>
    </w:p>
    <w:p>
      <w:r>
        <w:t>This topology preserves the complete functional scope. It accepts a single application/database host, planned maintenance interruptions and loss of live RAM state on restart. It is not high availability. The target recovery point remains fifteen minutes and the staffed restore target four hours, both to prove. If near-zero downtime, automatic failover or zero durable-data loss becomes a requirement, this budget and topology must change.</w:t>
      </w:r>
    </w:p>
    <w:p>
      <w:pPr>
        <w:pStyle w:val="Heading2"/>
      </w:pPr>
      <w:r>
        <w:t>1.3 What readiness means</w:t>
      </w:r>
    </w:p>
    <w:p>
      <w:r>
        <w:t>At least 200 connected participants and 25 simultaneous two-person audio calls are mandatory full-V1 launch requirements. The 50 people calling are included within the 200; an initial queue limit of 100 is also an included subset. No benchmark is available yet. The proposed hosts must pass the combined workload and all matching, security, voice-control, money-integrity, moderation, legal and recovery gates. If they fail, optimize or upgrade and retest; reducing the required capacity is not an acceptable completion.</w:t>
      </w:r>
    </w:p>
    <w:p>
      <w:r>
        <w:t>Complete local implementation while obtaining provider/legal/tax decisions in parallel. Payment approval is a material dependency: Cashfree is the first candidate, not an already approved merchant account. Preserve every finalized feature while resolving that dependency. A limited beta or disabled feature may be an explicitly chosen rollout stage, but is not completion of the requested full V1.</w:t>
      </w:r>
    </w:p>
    <w:p>
      <w:pPr>
        <w:pStyle w:val="Heading1"/>
      </w:pPr>
      <w:r>
        <w:t>2 Technology and provider comparison</w:t>
      </w:r>
    </w:p>
    <w:p>
      <w:pPr>
        <w:pStyle w:val="Heading2"/>
      </w:pPr>
      <w:r>
        <w:t>2.1 Selected implementation stack</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1512"/>
            <w:shd w:fill="17334A"/>
          </w:tcPr>
          <w:p>
            <w:pPr>
              <w:spacing w:after="100" w:before="80"/>
            </w:pPr>
            <w:r>
              <w:rPr>
                <w:b/>
                <w:color w:val="FFFFFF"/>
                <w:sz w:val="18"/>
              </w:rPr>
              <w:t>Layer</w:t>
            </w:r>
          </w:p>
        </w:tc>
        <w:tc>
          <w:tcPr>
            <w:tcW w:type="dxa" w:w="2952"/>
            <w:shd w:fill="17334A"/>
          </w:tcPr>
          <w:p>
            <w:pPr>
              <w:spacing w:after="100" w:before="80"/>
            </w:pPr>
            <w:r>
              <w:rPr>
                <w:b/>
                <w:color w:val="FFFFFF"/>
                <w:sz w:val="18"/>
              </w:rPr>
              <w:t>Selection</w:t>
            </w:r>
          </w:p>
        </w:tc>
        <w:tc>
          <w:tcPr>
            <w:tcW w:type="dxa" w:w="5184"/>
            <w:shd w:fill="17334A"/>
          </w:tcPr>
          <w:p>
            <w:pPr>
              <w:spacing w:after="100" w:before="80"/>
            </w:pPr>
            <w:r>
              <w:rPr>
                <w:b/>
                <w:color w:val="FFFFFF"/>
                <w:sz w:val="18"/>
              </w:rPr>
              <w:t>Why it fits</w:t>
            </w:r>
          </w:p>
        </w:tc>
      </w:tr>
      <w:tr>
        <w:trPr>
          <w:cantSplit/>
        </w:trPr>
        <w:tc>
          <w:tcPr>
            <w:tcW w:type="dxa" w:w="1512"/>
            <w:shd w:fill="F0F4F7"/>
          </w:tcPr>
          <w:p>
            <w:pPr>
              <w:spacing w:after="100" w:before="80"/>
            </w:pPr>
            <w:r>
              <w:rPr>
                <w:sz w:val="18"/>
              </w:rPr>
              <w:t>Languages</w:t>
            </w:r>
          </w:p>
        </w:tc>
        <w:tc>
          <w:tcPr>
            <w:tcW w:type="dxa" w:w="2952"/>
            <w:shd w:fill="F0F4F7"/>
          </w:tcPr>
          <w:p>
            <w:pPr>
              <w:spacing w:after="100" w:before="80"/>
            </w:pPr>
            <w:r>
              <w:rPr>
                <w:sz w:val="18"/>
              </w:rPr>
              <w:t>Go, TypeScript, SQL</w:t>
            </w:r>
          </w:p>
        </w:tc>
        <w:tc>
          <w:tcPr>
            <w:tcW w:type="dxa" w:w="5184"/>
            <w:shd w:fill="F0F4F7"/>
          </w:tcPr>
          <w:p>
            <w:pPr>
              <w:spacing w:after="100" w:before="80"/>
            </w:pPr>
            <w:r>
              <w:rPr>
                <w:sz w:val="18"/>
              </w:rPr>
              <w:t>Go for server/control logic; TypeScript for browser UI; SQL for durable state. No Python or C++ service is needed in production.</w:t>
            </w:r>
          </w:p>
        </w:tc>
      </w:tr>
      <w:tr>
        <w:trPr>
          <w:cantSplit/>
        </w:trPr>
        <w:tc>
          <w:tcPr>
            <w:tcW w:type="dxa" w:w="1512"/>
            <w:shd w:fill="FFFFFF"/>
          </w:tcPr>
          <w:p>
            <w:pPr>
              <w:spacing w:after="100" w:before="80"/>
            </w:pPr>
            <w:r>
              <w:rPr>
                <w:sz w:val="18"/>
              </w:rPr>
              <w:t>Backend framework</w:t>
            </w:r>
          </w:p>
        </w:tc>
        <w:tc>
          <w:tcPr>
            <w:tcW w:type="dxa" w:w="2952"/>
            <w:shd w:fill="FFFFFF"/>
          </w:tcPr>
          <w:p>
            <w:pPr>
              <w:spacing w:after="100" w:before="80"/>
            </w:pPr>
            <w:r>
              <w:rPr>
                <w:sz w:val="18"/>
              </w:rPr>
              <w:t>Go net/http modular monolith</w:t>
            </w:r>
          </w:p>
        </w:tc>
        <w:tc>
          <w:tcPr>
            <w:tcW w:type="dxa" w:w="5184"/>
            <w:shd w:fill="FFFFFF"/>
          </w:tcPr>
          <w:p>
            <w:pPr>
              <w:spacing w:after="100" w:before="80"/>
            </w:pPr>
            <w:r>
              <w:rPr>
                <w:sz w:val="18"/>
              </w:rPr>
              <w:t>One process owns live state. Standard routing/middleware and a maintained WebSocket library avoid a large framework. Bounded workers handle DB/provider calls.</w:t>
            </w:r>
          </w:p>
        </w:tc>
      </w:tr>
      <w:tr>
        <w:trPr>
          <w:cantSplit/>
        </w:trPr>
        <w:tc>
          <w:tcPr>
            <w:tcW w:type="dxa" w:w="1512"/>
            <w:shd w:fill="F0F4F7"/>
          </w:tcPr>
          <w:p>
            <w:pPr>
              <w:spacing w:after="100" w:before="80"/>
            </w:pPr>
            <w:r>
              <w:rPr>
                <w:sz w:val="18"/>
              </w:rPr>
              <w:t>Frontend</w:t>
            </w:r>
          </w:p>
        </w:tc>
        <w:tc>
          <w:tcPr>
            <w:tcW w:type="dxa" w:w="2952"/>
            <w:shd w:fill="F0F4F7"/>
          </w:tcPr>
          <w:p>
            <w:pPr>
              <w:spacing w:after="100" w:before="80"/>
            </w:pPr>
            <w:r>
              <w:rPr>
                <w:sz w:val="18"/>
              </w:rPr>
              <w:t>SvelteKit with static adapter and TypeScript</w:t>
            </w:r>
          </w:p>
        </w:tc>
        <w:tc>
          <w:tcPr>
            <w:tcW w:type="dxa" w:w="5184"/>
            <w:shd w:fill="F0F4F7"/>
          </w:tcPr>
          <w:p>
            <w:pPr>
              <w:spacing w:after="100" w:before="80"/>
            </w:pPr>
            <w:r>
              <w:rPr>
                <w:sz w:val="18"/>
              </w:rPr>
              <w:t>Public pages are prerendered for SEO; application routes hydrate in the browser. No production Node server, frontend subscription or SSR service.</w:t>
            </w:r>
          </w:p>
        </w:tc>
      </w:tr>
      <w:tr>
        <w:trPr>
          <w:cantSplit/>
        </w:trPr>
        <w:tc>
          <w:tcPr>
            <w:tcW w:type="dxa" w:w="1512"/>
            <w:shd w:fill="FFFFFF"/>
          </w:tcPr>
          <w:p>
            <w:pPr>
              <w:spacing w:after="100" w:before="80"/>
            </w:pPr>
            <w:r>
              <w:rPr>
                <w:sz w:val="18"/>
              </w:rPr>
              <w:t>UI styling</w:t>
            </w:r>
          </w:p>
        </w:tc>
        <w:tc>
          <w:tcPr>
            <w:tcW w:type="dxa" w:w="2952"/>
            <w:shd w:fill="FFFFFF"/>
          </w:tcPr>
          <w:p>
            <w:pPr>
              <w:spacing w:after="100" w:before="80"/>
            </w:pPr>
            <w:r>
              <w:rPr>
                <w:sz w:val="18"/>
              </w:rPr>
              <w:t>Plain CSS and reusable accessible components</w:t>
            </w:r>
          </w:p>
        </w:tc>
        <w:tc>
          <w:tcPr>
            <w:tcW w:type="dxa" w:w="5184"/>
            <w:shd w:fill="FFFFFF"/>
          </w:tcPr>
          <w:p>
            <w:pPr>
              <w:spacing w:after="100" w:before="80"/>
            </w:pPr>
            <w:r>
              <w:rPr>
                <w:sz w:val="18"/>
              </w:rPr>
              <w:t>System fonts and restrained styling; no paid theme, icon subscription or large component platform.</w:t>
            </w:r>
          </w:p>
        </w:tc>
      </w:tr>
      <w:tr>
        <w:trPr>
          <w:cantSplit/>
        </w:trPr>
        <w:tc>
          <w:tcPr>
            <w:tcW w:type="dxa" w:w="1512"/>
            <w:shd w:fill="F0F4F7"/>
          </w:tcPr>
          <w:p>
            <w:pPr>
              <w:spacing w:after="100" w:before="80"/>
            </w:pPr>
            <w:r>
              <w:rPr>
                <w:sz w:val="18"/>
              </w:rPr>
              <w:t>Database</w:t>
            </w:r>
          </w:p>
        </w:tc>
        <w:tc>
          <w:tcPr>
            <w:tcW w:type="dxa" w:w="2952"/>
            <w:shd w:fill="F0F4F7"/>
          </w:tcPr>
          <w:p>
            <w:pPr>
              <w:spacing w:after="100" w:before="80"/>
            </w:pPr>
            <w:r>
              <w:rPr>
                <w:sz w:val="18"/>
              </w:rPr>
              <w:t>PostgreSQL on the app VM</w:t>
            </w:r>
          </w:p>
        </w:tc>
        <w:tc>
          <w:tcPr>
            <w:tcW w:type="dxa" w:w="5184"/>
            <w:shd w:fill="F0F4F7"/>
          </w:tcPr>
          <w:p>
            <w:pPr>
              <w:spacing w:after="100" w:before="80"/>
            </w:pPr>
            <w:r>
              <w:rPr>
                <w:sz w:val="18"/>
              </w:rPr>
              <w:t>Transactions, constraints, jobs, financial ledgers and point-in-time recovery in one durable store.</w:t>
            </w:r>
          </w:p>
        </w:tc>
      </w:tr>
      <w:tr>
        <w:trPr>
          <w:cantSplit/>
        </w:trPr>
        <w:tc>
          <w:tcPr>
            <w:tcW w:type="dxa" w:w="1512"/>
            <w:shd w:fill="FFFFFF"/>
          </w:tcPr>
          <w:p>
            <w:pPr>
              <w:spacing w:after="100" w:before="80"/>
            </w:pPr>
            <w:r>
              <w:rPr>
                <w:sz w:val="18"/>
              </w:rPr>
              <w:t>Data access</w:t>
            </w:r>
          </w:p>
        </w:tc>
        <w:tc>
          <w:tcPr>
            <w:tcW w:type="dxa" w:w="2952"/>
            <w:shd w:fill="FFFFFF"/>
          </w:tcPr>
          <w:p>
            <w:pPr>
              <w:spacing w:after="100" w:before="80"/>
            </w:pPr>
            <w:r>
              <w:rPr>
                <w:sz w:val="18"/>
              </w:rPr>
              <w:t>pgx with parameterized SQL and versioned migrations</w:t>
            </w:r>
          </w:p>
        </w:tc>
        <w:tc>
          <w:tcPr>
            <w:tcW w:type="dxa" w:w="5184"/>
            <w:shd w:fill="FFFFFF"/>
          </w:tcPr>
          <w:p>
            <w:pPr>
              <w:spacing w:after="100" w:before="80"/>
            </w:pPr>
            <w:r>
              <w:rPr>
                <w:sz w:val="18"/>
              </w:rPr>
              <w:t>Small explicit transaction surface. Generated typed queries may be added at build time if useful; no required ORM or extra database service.</w:t>
            </w:r>
          </w:p>
        </w:tc>
      </w:tr>
      <w:tr>
        <w:trPr>
          <w:cantSplit/>
        </w:trPr>
        <w:tc>
          <w:tcPr>
            <w:tcW w:type="dxa" w:w="1512"/>
            <w:shd w:fill="F0F4F7"/>
          </w:tcPr>
          <w:p>
            <w:pPr>
              <w:spacing w:after="100" w:before="80"/>
            </w:pPr>
            <w:r>
              <w:rPr>
                <w:sz w:val="18"/>
              </w:rPr>
              <w:t>Realtime</w:t>
            </w:r>
          </w:p>
        </w:tc>
        <w:tc>
          <w:tcPr>
            <w:tcW w:type="dxa" w:w="2952"/>
            <w:shd w:fill="F0F4F7"/>
          </w:tcPr>
          <w:p>
            <w:pPr>
              <w:spacing w:after="100" w:before="80"/>
            </w:pPr>
            <w:r>
              <w:rPr>
                <w:sz w:val="18"/>
              </w:rPr>
              <w:t>Native browser WebSocket and Go handlers</w:t>
            </w:r>
          </w:p>
        </w:tc>
        <w:tc>
          <w:tcPr>
            <w:tcW w:type="dxa" w:w="5184"/>
            <w:shd w:fill="F0F4F7"/>
          </w:tcPr>
          <w:p>
            <w:pPr>
              <w:spacing w:after="100" w:before="80"/>
            </w:pPr>
            <w:r>
              <w:rPr>
                <w:sz w:val="18"/>
              </w:rPr>
              <w:t>Meets one-to-one text/signaling needs. Explicit reconnect, acknowledgements, epochs and bounded buffers remain required.</w:t>
            </w:r>
          </w:p>
        </w:tc>
      </w:tr>
      <w:tr>
        <w:trPr>
          <w:cantSplit/>
        </w:trPr>
        <w:tc>
          <w:tcPr>
            <w:tcW w:type="dxa" w:w="1512"/>
            <w:shd w:fill="FFFFFF"/>
          </w:tcPr>
          <w:p>
            <w:pPr>
              <w:spacing w:after="100" w:before="80"/>
            </w:pPr>
            <w:r>
              <w:rPr>
                <w:sz w:val="18"/>
              </w:rPr>
              <w:t>Audio</w:t>
            </w:r>
          </w:p>
        </w:tc>
        <w:tc>
          <w:tcPr>
            <w:tcW w:type="dxa" w:w="2952"/>
            <w:shd w:fill="FFFFFF"/>
          </w:tcPr>
          <w:p>
            <w:pPr>
              <w:spacing w:after="100" w:before="80"/>
            </w:pPr>
            <w:r>
              <w:rPr>
                <w:sz w:val="18"/>
              </w:rPr>
              <w:t>WebRTC Opus through coturn plus lease supervisor</w:t>
            </w:r>
          </w:p>
        </w:tc>
        <w:tc>
          <w:tcPr>
            <w:tcW w:type="dxa" w:w="5184"/>
            <w:shd w:fill="FFFFFF"/>
          </w:tcPr>
          <w:p>
            <w:pPr>
              <w:spacing w:after="100" w:before="80"/>
            </w:pPr>
            <w:r>
              <w:rPr>
                <w:sz w:val="18"/>
              </w:rPr>
              <w:t>Relay-only privacy, consent and controlled termination. No per-minute managed voice platform, recordings or SFU for two-person calls.</w:t>
            </w:r>
          </w:p>
        </w:tc>
      </w:tr>
      <w:tr>
        <w:trPr>
          <w:cantSplit/>
        </w:trPr>
        <w:tc>
          <w:tcPr>
            <w:tcW w:type="dxa" w:w="1512"/>
            <w:shd w:fill="F0F4F7"/>
          </w:tcPr>
          <w:p>
            <w:pPr>
              <w:spacing w:after="100" w:before="80"/>
            </w:pPr>
            <w:r>
              <w:rPr>
                <w:sz w:val="18"/>
              </w:rPr>
              <w:t>Web and TLS</w:t>
            </w:r>
          </w:p>
        </w:tc>
        <w:tc>
          <w:tcPr>
            <w:tcW w:type="dxa" w:w="2952"/>
            <w:shd w:fill="F0F4F7"/>
          </w:tcPr>
          <w:p>
            <w:pPr>
              <w:spacing w:after="100" w:before="80"/>
            </w:pPr>
            <w:r>
              <w:rPr>
                <w:sz w:val="18"/>
              </w:rPr>
              <w:t>Caddy plus Cloudflare Free DNS/web proxy</w:t>
            </w:r>
          </w:p>
        </w:tc>
        <w:tc>
          <w:tcPr>
            <w:tcW w:type="dxa" w:w="5184"/>
            <w:shd w:fill="F0F4F7"/>
          </w:tcPr>
          <w:p>
            <w:pPr>
              <w:spacing w:after="100" w:before="80"/>
            </w:pPr>
            <w:r>
              <w:rPr>
                <w:sz w:val="18"/>
              </w:rPr>
              <w:t>Serve static assets, HTTPS and reverse proxy. TURN stays DNS-only; keep application-level WebSocket protections.</w:t>
            </w:r>
          </w:p>
        </w:tc>
      </w:tr>
      <w:tr>
        <w:trPr>
          <w:cantSplit/>
        </w:trPr>
        <w:tc>
          <w:tcPr>
            <w:tcW w:type="dxa" w:w="1512"/>
            <w:shd w:fill="FFFFFF"/>
          </w:tcPr>
          <w:p>
            <w:pPr>
              <w:spacing w:after="100" w:before="80"/>
            </w:pPr>
            <w:r>
              <w:rPr>
                <w:sz w:val="18"/>
              </w:rPr>
              <w:t>Jobs</w:t>
            </w:r>
          </w:p>
        </w:tc>
        <w:tc>
          <w:tcPr>
            <w:tcW w:type="dxa" w:w="2952"/>
            <w:shd w:fill="FFFFFF"/>
          </w:tcPr>
          <w:p>
            <w:pPr>
              <w:spacing w:after="100" w:before="80"/>
            </w:pPr>
            <w:r>
              <w:rPr>
                <w:sz w:val="18"/>
              </w:rPr>
              <w:t>PostgreSQL inbox/outbox and bounded Go workers</w:t>
            </w:r>
          </w:p>
        </w:tc>
        <w:tc>
          <w:tcPr>
            <w:tcW w:type="dxa" w:w="5184"/>
            <w:shd w:fill="FFFFFF"/>
          </w:tcPr>
          <w:p>
            <w:pPr>
              <w:spacing w:after="100" w:before="80"/>
            </w:pPr>
            <w:r>
              <w:rPr>
                <w:sz w:val="18"/>
              </w:rPr>
              <w:t>Payments, retention, deletion and in-app case updates without Redis/RabbitMQ or a paid queue.</w:t>
            </w:r>
          </w:p>
        </w:tc>
      </w:tr>
      <w:tr>
        <w:trPr>
          <w:cantSplit/>
        </w:trPr>
        <w:tc>
          <w:tcPr>
            <w:tcW w:type="dxa" w:w="1512"/>
            <w:shd w:fill="F0F4F7"/>
          </w:tcPr>
          <w:p>
            <w:pPr>
              <w:spacing w:after="100" w:before="80"/>
            </w:pPr>
            <w:r>
              <w:rPr>
                <w:sz w:val="18"/>
              </w:rPr>
              <w:t>Deployment</w:t>
            </w:r>
          </w:p>
        </w:tc>
        <w:tc>
          <w:tcPr>
            <w:tcW w:type="dxa" w:w="2952"/>
            <w:shd w:fill="F0F4F7"/>
          </w:tcPr>
          <w:p>
            <w:pPr>
              <w:spacing w:after="100" w:before="80"/>
            </w:pPr>
            <w:r>
              <w:rPr>
                <w:sz w:val="18"/>
              </w:rPr>
              <w:t>Supported Linux LTS and pinned Compose services</w:t>
            </w:r>
          </w:p>
        </w:tc>
        <w:tc>
          <w:tcPr>
            <w:tcW w:type="dxa" w:w="5184"/>
            <w:shd w:fill="F0F4F7"/>
          </w:tcPr>
          <w:p>
            <w:pPr>
              <w:spacing w:after="100" w:before="80"/>
            </w:pPr>
            <w:r>
              <w:rPr>
                <w:sz w:val="18"/>
              </w:rPr>
              <w:t>Same deployment description locally and on VMs; immutable CI builds, automated configuration and simple rollback.</w:t>
            </w:r>
          </w:p>
        </w:tc>
      </w:tr>
      <w:tr>
        <w:trPr>
          <w:cantSplit/>
        </w:trPr>
        <w:tc>
          <w:tcPr>
            <w:tcW w:type="dxa" w:w="1512"/>
            <w:shd w:fill="FFFFFF"/>
          </w:tcPr>
          <w:p>
            <w:pPr>
              <w:spacing w:after="100" w:before="80"/>
            </w:pPr>
            <w:r>
              <w:rPr>
                <w:sz w:val="18"/>
              </w:rPr>
              <w:t>Backups and logs</w:t>
            </w:r>
          </w:p>
        </w:tc>
        <w:tc>
          <w:tcPr>
            <w:tcW w:type="dxa" w:w="2952"/>
            <w:shd w:fill="FFFFFF"/>
          </w:tcPr>
          <w:p>
            <w:pPr>
              <w:spacing w:after="100" w:before="80"/>
            </w:pPr>
            <w:r>
              <w:rPr>
                <w:sz w:val="18"/>
              </w:rPr>
              <w:t>pgBackRest plus encrypted S3 Mumbai objects</w:t>
            </w:r>
          </w:p>
        </w:tc>
        <w:tc>
          <w:tcPr>
            <w:tcW w:type="dxa" w:w="5184"/>
            <w:shd w:fill="FFFFFF"/>
          </w:tcPr>
          <w:p>
            <w:pPr>
              <w:spacing w:after="100" w:before="80"/>
            </w:pPr>
            <w:r>
              <w:rPr>
                <w:sz w:val="18"/>
              </w:rPr>
              <w:t>Retain WAL/PITR, recovery keys and separate deletion/hold journal. Pay for measured storage rather than a large minimum.</w:t>
            </w:r>
          </w:p>
        </w:tc>
      </w:tr>
      <w:tr>
        <w:trPr>
          <w:cantSplit/>
        </w:trPr>
        <w:tc>
          <w:tcPr>
            <w:tcW w:type="dxa" w:w="1512"/>
            <w:shd w:fill="F0F4F7"/>
          </w:tcPr>
          <w:p>
            <w:pPr>
              <w:spacing w:after="100" w:before="80"/>
            </w:pPr>
            <w:r>
              <w:rPr>
                <w:sz w:val="18"/>
              </w:rPr>
              <w:t>Payments</w:t>
            </w:r>
          </w:p>
        </w:tc>
        <w:tc>
          <w:tcPr>
            <w:tcW w:type="dxa" w:w="2952"/>
            <w:shd w:fill="F0F4F7"/>
          </w:tcPr>
          <w:p>
            <w:pPr>
              <w:spacing w:after="100" w:before="80"/>
            </w:pPr>
            <w:r>
              <w:rPr>
                <w:sz w:val="18"/>
              </w:rPr>
              <w:t>Cashfree hosted checkout after written approval</w:t>
            </w:r>
          </w:p>
        </w:tc>
        <w:tc>
          <w:tcPr>
            <w:tcW w:type="dxa" w:w="5184"/>
            <w:shd w:fill="F0F4F7"/>
          </w:tcPr>
          <w:p>
            <w:pPr>
              <w:spacing w:after="100" w:before="80"/>
            </w:pPr>
            <w:r>
              <w:rPr>
                <w:sz w:val="18"/>
              </w:rPr>
              <w:t>One-time plans; server-verified success and transactional entitlement. Keep only a narrow provider boundary for a later alternative.</w:t>
            </w:r>
          </w:p>
        </w:tc>
      </w:tr>
      <w:tr>
        <w:trPr>
          <w:cantSplit/>
        </w:trPr>
        <w:tc>
          <w:tcPr>
            <w:tcW w:type="dxa" w:w="1512"/>
            <w:shd w:fill="FFFFFF"/>
          </w:tcPr>
          <w:p>
            <w:pPr>
              <w:spacing w:after="100" w:before="80"/>
            </w:pPr>
            <w:r>
              <w:rPr>
                <w:sz w:val="18"/>
              </w:rPr>
              <w:t>Testing and metrics</w:t>
            </w:r>
          </w:p>
        </w:tc>
        <w:tc>
          <w:tcPr>
            <w:tcW w:type="dxa" w:w="2952"/>
            <w:shd w:fill="FFFFFF"/>
          </w:tcPr>
          <w:p>
            <w:pPr>
              <w:spacing w:after="100" w:before="80"/>
            </w:pPr>
            <w:r>
              <w:rPr>
                <w:sz w:val="18"/>
              </w:rPr>
              <w:t>Go tests/race/fuzz, real PostgreSQL, browser E2E and load tests</w:t>
            </w:r>
          </w:p>
        </w:tc>
        <w:tc>
          <w:tcPr>
            <w:tcW w:type="dxa" w:w="5184"/>
            <w:shd w:fill="FFFFFF"/>
          </w:tcPr>
          <w:p>
            <w:pPr>
              <w:spacing w:after="100" w:before="80"/>
            </w:pPr>
            <w:r>
              <w:rPr>
                <w:sz w:val="18"/>
              </w:rPr>
              <w:t>Private profiling/metrics and redacted logs; no paid APM or full monitoring cluster required initially.</w:t>
            </w:r>
          </w:p>
        </w:tc>
      </w:tr>
    </w:tbl>
    <w:p>
      <w:r>
        <w:t>Pin supported stable versions and lockfiles at implementation; evaluate security updates monthly and urgent fixes immediately. Newest available is not automatically the best release. The static frontend and Go binary are built off the production host. Use one repository and a documented local bootstrap command. PostgreSQL migrations and the current deployment manifest are part of each release. [S01, S27, S28]</w:t>
      </w:r>
    </w:p>
    <w:p>
      <w:pPr>
        <w:pStyle w:val="Heading2"/>
      </w:pPr>
      <w:r>
        <w:t>2.2 Languages frameworks and databases reconsidered</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2016"/>
            <w:shd w:fill="17334A"/>
          </w:tcPr>
          <w:p>
            <w:pPr>
              <w:spacing w:after="100" w:before="80"/>
            </w:pPr>
            <w:r>
              <w:rPr>
                <w:b/>
                <w:color w:val="FFFFFF"/>
                <w:sz w:val="18"/>
              </w:rPr>
              <w:t>Alternative</w:t>
            </w:r>
          </w:p>
        </w:tc>
        <w:tc>
          <w:tcPr>
            <w:tcW w:type="dxa" w:w="2664"/>
            <w:shd w:fill="17334A"/>
          </w:tcPr>
          <w:p>
            <w:pPr>
              <w:spacing w:after="100" w:before="80"/>
            </w:pPr>
            <w:r>
              <w:rPr>
                <w:b/>
                <w:color w:val="FFFFFF"/>
                <w:sz w:val="18"/>
              </w:rPr>
              <w:t>Useful advantage</w:t>
            </w:r>
          </w:p>
        </w:tc>
        <w:tc>
          <w:tcPr>
            <w:tcW w:type="dxa" w:w="4968"/>
            <w:shd w:fill="17334A"/>
          </w:tcPr>
          <w:p>
            <w:pPr>
              <w:spacing w:after="100" w:before="80"/>
            </w:pPr>
            <w:r>
              <w:rPr>
                <w:b/>
                <w:color w:val="FFFFFF"/>
                <w:sz w:val="18"/>
              </w:rPr>
              <w:t>Decision for this MVP</w:t>
            </w:r>
          </w:p>
        </w:tc>
      </w:tr>
      <w:tr>
        <w:trPr>
          <w:cantSplit/>
        </w:trPr>
        <w:tc>
          <w:tcPr>
            <w:tcW w:type="dxa" w:w="2016"/>
            <w:shd w:fill="F0F4F7"/>
          </w:tcPr>
          <w:p>
            <w:pPr>
              <w:spacing w:after="100" w:before="80"/>
            </w:pPr>
            <w:r>
              <w:rPr>
                <w:sz w:val="18"/>
              </w:rPr>
              <w:t>TypeScript and Fastify</w:t>
            </w:r>
          </w:p>
        </w:tc>
        <w:tc>
          <w:tcPr>
            <w:tcW w:type="dxa" w:w="2664"/>
            <w:shd w:fill="F0F4F7"/>
          </w:tcPr>
          <w:p>
            <w:pPr>
              <w:spacing w:after="100" w:before="80"/>
            </w:pPr>
            <w:r>
              <w:rPr>
                <w:sz w:val="18"/>
              </w:rPr>
              <w:t>One language across UI/backend; good schema tooling</w:t>
            </w:r>
          </w:p>
        </w:tc>
        <w:tc>
          <w:tcPr>
            <w:tcW w:type="dxa" w:w="4968"/>
            <w:shd w:fill="F0F4F7"/>
          </w:tcPr>
          <w:p>
            <w:pPr>
              <w:spacing w:after="100" w:before="80"/>
            </w:pPr>
            <w:r>
              <w:rPr>
                <w:sz w:val="18"/>
              </w:rPr>
              <w:t>Credible alternative for a TypeScript team. CPU work and hashing must not block the event loop; clustering does not share the live queue. No demonstrated hosting saving justifies a rewrite.</w:t>
            </w:r>
          </w:p>
        </w:tc>
      </w:tr>
      <w:tr>
        <w:trPr>
          <w:cantSplit/>
        </w:trPr>
        <w:tc>
          <w:tcPr>
            <w:tcW w:type="dxa" w:w="2016"/>
            <w:shd w:fill="FFFFFF"/>
          </w:tcPr>
          <w:p>
            <w:pPr>
              <w:spacing w:after="100" w:before="80"/>
            </w:pPr>
            <w:r>
              <w:rPr>
                <w:sz w:val="18"/>
              </w:rPr>
              <w:t>Python and FastAPI</w:t>
            </w:r>
          </w:p>
        </w:tc>
        <w:tc>
          <w:tcPr>
            <w:tcW w:type="dxa" w:w="2664"/>
            <w:shd w:fill="FFFFFF"/>
          </w:tcPr>
          <w:p>
            <w:pPr>
              <w:spacing w:after="100" w:before="80"/>
            </w:pPr>
            <w:r>
              <w:rPr>
                <w:sz w:val="18"/>
              </w:rPr>
              <w:t>Vivek already knows Python; may reduce learning time</w:t>
            </w:r>
          </w:p>
        </w:tc>
        <w:tc>
          <w:tcPr>
            <w:tcW w:type="dxa" w:w="4968"/>
            <w:shd w:fill="FFFFFF"/>
          </w:tcPr>
          <w:p>
            <w:pPr>
              <w:spacing w:after="100" w:before="80"/>
            </w:pPr>
            <w:r>
              <w:rPr>
                <w:sz w:val="18"/>
              </w:rPr>
              <w:t>Viable if actual Python productivity substantially shortens delivery. Use one ASGI process for authoritative RAM state and offload blocking work. Multiple workers need a state-ownership redesign.</w:t>
            </w:r>
          </w:p>
        </w:tc>
      </w:tr>
      <w:tr>
        <w:trPr>
          <w:cantSplit/>
        </w:trPr>
        <w:tc>
          <w:tcPr>
            <w:tcW w:type="dxa" w:w="2016"/>
            <w:shd w:fill="F0F4F7"/>
          </w:tcPr>
          <w:p>
            <w:pPr>
              <w:spacing w:after="100" w:before="80"/>
            </w:pPr>
            <w:r>
              <w:rPr>
                <w:sz w:val="18"/>
              </w:rPr>
              <w:t>C++ backend</w:t>
            </w:r>
          </w:p>
        </w:tc>
        <w:tc>
          <w:tcPr>
            <w:tcW w:type="dxa" w:w="2664"/>
            <w:shd w:fill="F0F4F7"/>
          </w:tcPr>
          <w:p>
            <w:pPr>
              <w:spacing w:after="100" w:before="80"/>
            </w:pPr>
            <w:r>
              <w:rPr>
                <w:sz w:val="18"/>
              </w:rPr>
              <w:t>Existing user expertise and close resource control</w:t>
            </w:r>
          </w:p>
        </w:tc>
        <w:tc>
          <w:tcPr>
            <w:tcW w:type="dxa" w:w="4968"/>
            <w:shd w:fill="F0F4F7"/>
          </w:tcPr>
          <w:p>
            <w:pPr>
              <w:spacing w:after="100" w:before="80"/>
            </w:pPr>
            <w:r>
              <w:rPr>
                <w:sz w:val="18"/>
              </w:rPr>
              <w:t>Not selected: web auth/payment/operations integration and build complexity outweigh an unproven performance benefit at this load.</w:t>
            </w:r>
          </w:p>
        </w:tc>
      </w:tr>
      <w:tr>
        <w:trPr>
          <w:cantSplit/>
        </w:trPr>
        <w:tc>
          <w:tcPr>
            <w:tcW w:type="dxa" w:w="2016"/>
            <w:shd w:fill="FFFFFF"/>
          </w:tcPr>
          <w:p>
            <w:pPr>
              <w:spacing w:after="100" w:before="80"/>
            </w:pPr>
            <w:r>
              <w:rPr>
                <w:sz w:val="18"/>
              </w:rPr>
              <w:t>React and Vite</w:t>
            </w:r>
          </w:p>
        </w:tc>
        <w:tc>
          <w:tcPr>
            <w:tcW w:type="dxa" w:w="2664"/>
            <w:shd w:fill="FFFFFF"/>
          </w:tcPr>
          <w:p>
            <w:pPr>
              <w:spacing w:after="100" w:before="80"/>
            </w:pPr>
            <w:r>
              <w:rPr>
                <w:sz w:val="18"/>
              </w:rPr>
              <w:t>Large ecosystem; static deployment</w:t>
            </w:r>
          </w:p>
        </w:tc>
        <w:tc>
          <w:tcPr>
            <w:tcW w:type="dxa" w:w="4968"/>
            <w:shd w:fill="FFFFFF"/>
          </w:tcPr>
          <w:p>
            <w:pPr>
              <w:spacing w:after="100" w:before="80"/>
            </w:pPr>
            <w:r>
              <w:rPr>
                <w:sz w:val="18"/>
              </w:rPr>
              <w:t>Equally economical hosting. Choose it if the implementer is materially more productive; otherwise keep Svelte to avoid learning two frontend stacks.</w:t>
            </w:r>
          </w:p>
        </w:tc>
      </w:tr>
      <w:tr>
        <w:trPr>
          <w:cantSplit/>
        </w:trPr>
        <w:tc>
          <w:tcPr>
            <w:tcW w:type="dxa" w:w="2016"/>
            <w:shd w:fill="F0F4F7"/>
          </w:tcPr>
          <w:p>
            <w:pPr>
              <w:spacing w:after="100" w:before="80"/>
            </w:pPr>
            <w:r>
              <w:rPr>
                <w:sz w:val="18"/>
              </w:rPr>
              <w:t>Next.js or dynamic SSR</w:t>
            </w:r>
          </w:p>
        </w:tc>
        <w:tc>
          <w:tcPr>
            <w:tcW w:type="dxa" w:w="2664"/>
            <w:shd w:fill="F0F4F7"/>
          </w:tcPr>
          <w:p>
            <w:pPr>
              <w:spacing w:after="100" w:before="80"/>
            </w:pPr>
            <w:r>
              <w:rPr>
                <w:sz w:val="18"/>
              </w:rPr>
              <w:t>Useful for server-rendered personalized pages</w:t>
            </w:r>
          </w:p>
        </w:tc>
        <w:tc>
          <w:tcPr>
            <w:tcW w:type="dxa" w:w="4968"/>
            <w:shd w:fill="F0F4F7"/>
          </w:tcPr>
          <w:p>
            <w:pPr>
              <w:spacing w:after="100" w:before="80"/>
            </w:pPr>
            <w:r>
              <w:rPr>
                <w:sz w:val="18"/>
              </w:rPr>
              <w:t>No present need for another server runtime: public pages can be prerendered and private screens are noindex.</w:t>
            </w:r>
          </w:p>
        </w:tc>
      </w:tr>
      <w:tr>
        <w:trPr>
          <w:cantSplit/>
        </w:trPr>
        <w:tc>
          <w:tcPr>
            <w:tcW w:type="dxa" w:w="2016"/>
            <w:shd w:fill="FFFFFF"/>
          </w:tcPr>
          <w:p>
            <w:pPr>
              <w:spacing w:after="100" w:before="80"/>
            </w:pPr>
            <w:r>
              <w:rPr>
                <w:sz w:val="18"/>
              </w:rPr>
              <w:t>Django and Channels</w:t>
            </w:r>
          </w:p>
        </w:tc>
        <w:tc>
          <w:tcPr>
            <w:tcW w:type="dxa" w:w="2664"/>
            <w:shd w:fill="FFFFFF"/>
          </w:tcPr>
          <w:p>
            <w:pPr>
              <w:spacing w:after="100" w:before="80"/>
            </w:pPr>
            <w:r>
              <w:rPr>
                <w:sz w:val="18"/>
              </w:rPr>
              <w:t>Mature admin/auth tools</w:t>
            </w:r>
          </w:p>
        </w:tc>
        <w:tc>
          <w:tcPr>
            <w:tcW w:type="dxa" w:w="4968"/>
            <w:shd w:fill="FFFFFF"/>
          </w:tcPr>
          <w:p>
            <w:pPr>
              <w:spacing w:after="100" w:before="80"/>
            </w:pPr>
            <w:r>
              <w:rPr>
                <w:sz w:val="18"/>
              </w:rPr>
              <w:t>Could lower effort for an experienced Django team, but ephemeral guest state and shared matching still need custom control. Do not add Redis merely because an example uses it.</w:t>
            </w:r>
          </w:p>
        </w:tc>
      </w:tr>
      <w:tr>
        <w:trPr>
          <w:cantSplit/>
        </w:trPr>
        <w:tc>
          <w:tcPr>
            <w:tcW w:type="dxa" w:w="2016"/>
            <w:shd w:fill="F0F4F7"/>
          </w:tcPr>
          <w:p>
            <w:pPr>
              <w:spacing w:after="100" w:before="80"/>
            </w:pPr>
            <w:r>
              <w:rPr>
                <w:sz w:val="18"/>
              </w:rPr>
              <w:t>SQLite</w:t>
            </w:r>
          </w:p>
        </w:tc>
        <w:tc>
          <w:tcPr>
            <w:tcW w:type="dxa" w:w="2664"/>
            <w:shd w:fill="F0F4F7"/>
          </w:tcPr>
          <w:p>
            <w:pPr>
              <w:spacing w:after="100" w:before="80"/>
            </w:pPr>
            <w:r>
              <w:rPr>
                <w:sz w:val="18"/>
              </w:rPr>
              <w:t>Low memory and minimal administration; ACID transactions</w:t>
            </w:r>
          </w:p>
        </w:tc>
        <w:tc>
          <w:tcPr>
            <w:tcW w:type="dxa" w:w="4968"/>
            <w:shd w:fill="F0F4F7"/>
          </w:tcPr>
          <w:p>
            <w:pPr>
              <w:spacing w:after="100" w:before="80"/>
            </w:pPr>
            <w:r>
              <w:rPr>
                <w:sz w:val="18"/>
              </w:rPr>
              <w:t>Technically viable at tiny scale. PostgreSQL better fits concurrent billing/jobs and the planned PITR/upgrade path, avoiding a near-term migration. SQLite is not rejected as unsafe for money.</w:t>
            </w:r>
          </w:p>
        </w:tc>
      </w:tr>
      <w:tr>
        <w:trPr>
          <w:cantSplit/>
        </w:trPr>
        <w:tc>
          <w:tcPr>
            <w:tcW w:type="dxa" w:w="2016"/>
            <w:shd w:fill="FFFFFF"/>
          </w:tcPr>
          <w:p>
            <w:pPr>
              <w:spacing w:after="100" w:before="80"/>
            </w:pPr>
            <w:r>
              <w:rPr>
                <w:sz w:val="18"/>
              </w:rPr>
              <w:t>MongoDB or Firebase</w:t>
            </w:r>
          </w:p>
        </w:tc>
        <w:tc>
          <w:tcPr>
            <w:tcW w:type="dxa" w:w="2664"/>
            <w:shd w:fill="FFFFFF"/>
          </w:tcPr>
          <w:p>
            <w:pPr>
              <w:spacing w:after="100" w:before="80"/>
            </w:pPr>
            <w:r>
              <w:rPr>
                <w:sz w:val="18"/>
              </w:rPr>
              <w:t>Flexible records or managed client access</w:t>
            </w:r>
          </w:p>
        </w:tc>
        <w:tc>
          <w:tcPr>
            <w:tcW w:type="dxa" w:w="4968"/>
            <w:shd w:fill="FFFFFF"/>
          </w:tcPr>
          <w:p>
            <w:pPr>
              <w:spacing w:after="100" w:before="80"/>
            </w:pPr>
            <w:r>
              <w:rPr>
                <w:sz w:val="18"/>
              </w:rPr>
              <w:t>Relationships, entitlements, refunds and jobs are naturally relational. Extra services and usage-based realtime reads add no demonstrated benefit.</w:t>
            </w:r>
          </w:p>
        </w:tc>
      </w:tr>
      <w:tr>
        <w:trPr>
          <w:cantSplit/>
        </w:trPr>
        <w:tc>
          <w:tcPr>
            <w:tcW w:type="dxa" w:w="2016"/>
            <w:shd w:fill="F0F4F7"/>
          </w:tcPr>
          <w:p>
            <w:pPr>
              <w:spacing w:after="100" w:before="80"/>
            </w:pPr>
            <w:r>
              <w:rPr>
                <w:sz w:val="18"/>
              </w:rPr>
              <w:t>Managed PostgreSQL or Supabase</w:t>
            </w:r>
          </w:p>
        </w:tc>
        <w:tc>
          <w:tcPr>
            <w:tcW w:type="dxa" w:w="2664"/>
            <w:shd w:fill="F0F4F7"/>
          </w:tcPr>
          <w:p>
            <w:pPr>
              <w:spacing w:after="100" w:before="80"/>
            </w:pPr>
            <w:r>
              <w:rPr>
                <w:sz w:val="18"/>
              </w:rPr>
              <w:t>Less host/database administration</w:t>
            </w:r>
          </w:p>
        </w:tc>
        <w:tc>
          <w:tcPr>
            <w:tcW w:type="dxa" w:w="4968"/>
            <w:shd w:fill="F0F4F7"/>
          </w:tcPr>
          <w:p>
            <w:pPr>
              <w:spacing w:after="100" w:before="80"/>
            </w:pPr>
            <w:r>
              <w:rPr>
                <w:sz w:val="18"/>
              </w:rPr>
              <w:t>Defer until maintenance time or availability justifies the recurring price. Free tiers, sleeping services and default auth flows do not establish production suitability.</w:t>
            </w:r>
          </w:p>
        </w:tc>
      </w:tr>
    </w:tbl>
    <w:p>
      <w:r>
        <w:t>Go is selected for the application's state/concurrency shape and operating simplicity, not because it is always faster or cheaper to build. A skilled Python implementer can outperform a novice Go implementer in delivery cost. Before substantial implementation, complete a small auth/WebSocket/payment test spike in the chosen stack and estimate the remaining work. Once selected, avoid a speculative rewrite. Node's event-loop guidance, FastAPI's separate worker memory and SQLite's single-writer behavior support these distinctions. [S29, S30, S31]</w:t>
      </w:r>
    </w:p>
    <w:p>
      <w:pPr>
        <w:pStyle w:val="Heading2"/>
      </w:pPr>
      <w:r>
        <w:t>2.3 Deployment providers</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2304"/>
            <w:shd w:fill="17334A"/>
          </w:tcPr>
          <w:p>
            <w:pPr>
              <w:spacing w:after="100" w:before="80"/>
            </w:pPr>
            <w:r>
              <w:rPr>
                <w:b/>
                <w:color w:val="FFFFFF"/>
                <w:sz w:val="18"/>
              </w:rPr>
              <w:t>Option</w:t>
            </w:r>
          </w:p>
        </w:tc>
        <w:tc>
          <w:tcPr>
            <w:tcW w:type="dxa" w:w="2736"/>
            <w:shd w:fill="17334A"/>
          </w:tcPr>
          <w:p>
            <w:pPr>
              <w:spacing w:after="100" w:before="80"/>
            </w:pPr>
            <w:r>
              <w:rPr>
                <w:b/>
                <w:color w:val="FFFFFF"/>
                <w:sz w:val="18"/>
              </w:rPr>
              <w:t>Baseline before tax</w:t>
            </w:r>
          </w:p>
        </w:tc>
        <w:tc>
          <w:tcPr>
            <w:tcW w:type="dxa" w:w="4608"/>
            <w:shd w:fill="17334A"/>
          </w:tcPr>
          <w:p>
            <w:pPr>
              <w:spacing w:after="100" w:before="80"/>
            </w:pPr>
            <w:r>
              <w:rPr>
                <w:b/>
                <w:color w:val="FFFFFF"/>
                <w:sz w:val="18"/>
              </w:rPr>
              <w:t>Tradeoff and decision</w:t>
            </w:r>
          </w:p>
        </w:tc>
      </w:tr>
      <w:tr>
        <w:trPr>
          <w:cantSplit/>
        </w:trPr>
        <w:tc>
          <w:tcPr>
            <w:tcW w:type="dxa" w:w="2304"/>
            <w:shd w:fill="F0F4F7"/>
          </w:tcPr>
          <w:p>
            <w:pPr>
              <w:spacing w:after="100" w:before="80"/>
            </w:pPr>
            <w:r>
              <w:rPr>
                <w:sz w:val="18"/>
              </w:rPr>
              <w:t>DigitalOcean Bangalore plus S3 Mumbai</w:t>
            </w:r>
          </w:p>
        </w:tc>
        <w:tc>
          <w:tcPr>
            <w:tcW w:type="dxa" w:w="2736"/>
            <w:shd w:fill="F0F4F7"/>
          </w:tcPr>
          <w:p>
            <w:pPr>
              <w:spacing w:after="100" w:before="80"/>
            </w:pPr>
            <w:r>
              <w:rPr>
                <w:sz w:val="18"/>
              </w:rPr>
              <w:t>USD 24 app + USD 6 TURN + USD 2 storage allowance = USD 32</w:t>
            </w:r>
          </w:p>
        </w:tc>
        <w:tc>
          <w:tcPr>
            <w:tcW w:type="dxa" w:w="4608"/>
            <w:shd w:fill="F0F4F7"/>
          </w:tcPr>
          <w:p>
            <w:pPr>
              <w:spacing w:after="100" w:before="80"/>
            </w:pPr>
            <w:r>
              <w:rPr>
                <w:sz w:val="18"/>
              </w:rPr>
              <w:t>Recommended candidate: Regular Basic 2 vCPU/4 GiB app and 1 vCPU/1 GiB relay. Two accounts, India core hosting/recovery storage and favorable voice transfer allowance. Mandatory load tests still apply.</w:t>
            </w:r>
          </w:p>
        </w:tc>
      </w:tr>
      <w:tr>
        <w:trPr>
          <w:cantSplit/>
        </w:trPr>
        <w:tc>
          <w:tcPr>
            <w:tcW w:type="dxa" w:w="2304"/>
            <w:shd w:fill="FFFFFF"/>
          </w:tcPr>
          <w:p>
            <w:pPr>
              <w:spacing w:after="100" w:before="80"/>
            </w:pPr>
            <w:r>
              <w:rPr>
                <w:sz w:val="18"/>
              </w:rPr>
              <w:t>DigitalOcean only</w:t>
            </w:r>
          </w:p>
        </w:tc>
        <w:tc>
          <w:tcPr>
            <w:tcW w:type="dxa" w:w="2736"/>
            <w:shd w:fill="FFFFFF"/>
          </w:tcPr>
          <w:p>
            <w:pPr>
              <w:spacing w:after="100" w:before="80"/>
            </w:pPr>
            <w:r>
              <w:rPr>
                <w:sz w:val="18"/>
              </w:rPr>
              <w:t>USD 24 + USD 6 + USD 5 Spaces = USD 35</w:t>
            </w:r>
          </w:p>
        </w:tc>
        <w:tc>
          <w:tcPr>
            <w:tcW w:type="dxa" w:w="4608"/>
            <w:shd w:fill="FFFFFF"/>
          </w:tcPr>
          <w:p>
            <w:pPr>
              <w:spacing w:after="100" w:before="80"/>
            </w:pPr>
            <w:r>
              <w:rPr>
                <w:sz w:val="18"/>
              </w:rPr>
              <w:t>One-provider administration; about INR 344/month more than the USD 32 baseline. Sensible if simpler operations justify it.</w:t>
            </w:r>
          </w:p>
        </w:tc>
      </w:tr>
      <w:tr>
        <w:trPr>
          <w:cantSplit/>
        </w:trPr>
        <w:tc>
          <w:tcPr>
            <w:tcW w:type="dxa" w:w="2304"/>
            <w:shd w:fill="F0F4F7"/>
          </w:tcPr>
          <w:p>
            <w:pPr>
              <w:spacing w:after="100" w:before="80"/>
            </w:pPr>
            <w:r>
              <w:rPr>
                <w:sz w:val="18"/>
              </w:rPr>
              <w:t>AWS Lightsail Mumbai</w:t>
            </w:r>
          </w:p>
        </w:tc>
        <w:tc>
          <w:tcPr>
            <w:tcW w:type="dxa" w:w="2736"/>
            <w:shd w:fill="F0F4F7"/>
          </w:tcPr>
          <w:p>
            <w:pPr>
              <w:spacing w:after="100" w:before="80"/>
            </w:pPr>
            <w:r>
              <w:rPr>
                <w:sz w:val="18"/>
              </w:rPr>
              <w:t>USD 24 IPv4 app + USD 7 IPv4 TURN + USD 3 bucket = USD 34</w:t>
            </w:r>
          </w:p>
        </w:tc>
        <w:tc>
          <w:tcPr>
            <w:tcW w:type="dxa" w:w="4608"/>
            <w:shd w:fill="F0F4F7"/>
          </w:tcPr>
          <w:p>
            <w:pPr>
              <w:spacing w:after="100" w:before="80"/>
            </w:pPr>
            <w:r>
              <w:rPr>
                <w:sz w:val="18"/>
              </w:rPr>
              <w:t>4-GB app and 1-GB relay; 100-GB bucket accommodates the 20-GB retained-data assumption. CPU burst credits and Mumbai transfer limits require monitoring.</w:t>
            </w:r>
          </w:p>
        </w:tc>
      </w:tr>
      <w:tr>
        <w:trPr>
          <w:cantSplit/>
        </w:trPr>
        <w:tc>
          <w:tcPr>
            <w:tcW w:type="dxa" w:w="2304"/>
            <w:shd w:fill="FFFFFF"/>
          </w:tcPr>
          <w:p>
            <w:pPr>
              <w:spacing w:after="100" w:before="80"/>
            </w:pPr>
            <w:r>
              <w:rPr>
                <w:sz w:val="18"/>
              </w:rPr>
              <w:t>AWS EC2 plus EBS and S3</w:t>
            </w:r>
          </w:p>
        </w:tc>
        <w:tc>
          <w:tcPr>
            <w:tcW w:type="dxa" w:w="2736"/>
            <w:shd w:fill="FFFFFF"/>
          </w:tcPr>
          <w:p>
            <w:pPr>
              <w:spacing w:after="100" w:before="80"/>
            </w:pPr>
            <w:r>
              <w:rPr>
                <w:sz w:val="18"/>
              </w:rPr>
              <w:t>Component pricing; no comparable bundle assumed</w:t>
            </w:r>
          </w:p>
        </w:tc>
        <w:tc>
          <w:tcPr>
            <w:tcW w:type="dxa" w:w="4608"/>
            <w:shd w:fill="FFFFFF"/>
          </w:tcPr>
          <w:p>
            <w:pPr>
              <w:spacing w:after="100" w:before="80"/>
            </w:pPr>
            <w:r>
              <w:rPr>
                <w:sz w:val="18"/>
              </w:rPr>
              <w:t>Flexible but IPv4, disks, snapshots and internet egress are separate. Avoid NAT Gateway, ALB, ECS/EKS and RDS at this size absent a demonstrated need.</w:t>
            </w:r>
          </w:p>
        </w:tc>
      </w:tr>
      <w:tr>
        <w:trPr>
          <w:cantSplit/>
        </w:trPr>
        <w:tc>
          <w:tcPr>
            <w:tcW w:type="dxa" w:w="2304"/>
            <w:shd w:fill="F0F4F7"/>
          </w:tcPr>
          <w:p>
            <w:pPr>
              <w:spacing w:after="100" w:before="80"/>
            </w:pPr>
            <w:r>
              <w:rPr>
                <w:sz w:val="18"/>
              </w:rPr>
              <w:t>Hetzner Singapore or European low-price VPS</w:t>
            </w:r>
          </w:p>
        </w:tc>
        <w:tc>
          <w:tcPr>
            <w:tcW w:type="dxa" w:w="2736"/>
            <w:shd w:fill="F0F4F7"/>
          </w:tcPr>
          <w:p>
            <w:pPr>
              <w:spacing w:after="100" w:before="80"/>
            </w:pPr>
            <w:r>
              <w:rPr>
                <w:sz w:val="18"/>
              </w:rPr>
              <w:t>Headline prices not treated as like-for-like</w:t>
            </w:r>
          </w:p>
        </w:tc>
        <w:tc>
          <w:tcPr>
            <w:tcW w:type="dxa" w:w="4608"/>
            <w:shd w:fill="F0F4F7"/>
          </w:tcPr>
          <w:p>
            <w:pPr>
              <w:spacing w:after="100" w:before="80"/>
            </w:pPr>
            <w:r>
              <w:rPr>
                <w:sz w:val="18"/>
              </w:rPr>
              <w:t>No India region for the referenced offer. Does not meet the finalized India core-hosting decision; currency and transfer terms differ.</w:t>
            </w:r>
          </w:p>
        </w:tc>
      </w:tr>
      <w:tr>
        <w:trPr>
          <w:cantSplit/>
        </w:trPr>
        <w:tc>
          <w:tcPr>
            <w:tcW w:type="dxa" w:w="2304"/>
            <w:shd w:fill="FFFFFF"/>
          </w:tcPr>
          <w:p>
            <w:pPr>
              <w:spacing w:after="100" w:before="80"/>
            </w:pPr>
            <w:r>
              <w:rPr>
                <w:sz w:val="18"/>
              </w:rPr>
              <w:t>Indian VPS providers such as E2E</w:t>
            </w:r>
          </w:p>
        </w:tc>
        <w:tc>
          <w:tcPr>
            <w:tcW w:type="dxa" w:w="2736"/>
            <w:shd w:fill="FFFFFF"/>
          </w:tcPr>
          <w:p>
            <w:pPr>
              <w:spacing w:after="100" w:before="80"/>
            </w:pPr>
            <w:r>
              <w:rPr>
                <w:sz w:val="18"/>
              </w:rPr>
              <w:t>Obtain a complete region/bandwidth/backup quote</w:t>
            </w:r>
          </w:p>
        </w:tc>
        <w:tc>
          <w:tcPr>
            <w:tcW w:type="dxa" w:w="4608"/>
            <w:shd w:fill="FFFFFF"/>
          </w:tcPr>
          <w:p>
            <w:pPr>
              <w:spacing w:after="100" w:before="80"/>
            </w:pPr>
            <w:r>
              <w:rPr>
                <w:sz w:val="18"/>
              </w:rPr>
              <w:t>Potential alternative if a verified smaller offer beats the total bill. Do not compare a promotional CPU/RAM number without IPv4, egress, UDP, support and renewal pricing.</w:t>
            </w:r>
          </w:p>
        </w:tc>
      </w:tr>
      <w:tr>
        <w:trPr>
          <w:cantSplit/>
        </w:trPr>
        <w:tc>
          <w:tcPr>
            <w:tcW w:type="dxa" w:w="2304"/>
            <w:shd w:fill="F0F4F7"/>
          </w:tcPr>
          <w:p>
            <w:pPr>
              <w:spacing w:after="100" w:before="80"/>
            </w:pPr>
            <w:r>
              <w:rPr>
                <w:sz w:val="18"/>
              </w:rPr>
              <w:t>Free compute or serverless/PaaS composition</w:t>
            </w:r>
          </w:p>
        </w:tc>
        <w:tc>
          <w:tcPr>
            <w:tcW w:type="dxa" w:w="2736"/>
            <w:shd w:fill="F0F4F7"/>
          </w:tcPr>
          <w:p>
            <w:pPr>
              <w:spacing w:after="100" w:before="80"/>
            </w:pPr>
            <w:r>
              <w:rPr>
                <w:sz w:val="18"/>
              </w:rPr>
              <w:t>Promotions and free quotas excluded</w:t>
            </w:r>
          </w:p>
        </w:tc>
        <w:tc>
          <w:tcPr>
            <w:tcW w:type="dxa" w:w="4608"/>
            <w:shd w:fill="F0F4F7"/>
          </w:tcPr>
          <w:p>
            <w:pPr>
              <w:spacing w:after="100" w:before="80"/>
            </w:pPr>
            <w:r>
              <w:rPr>
                <w:sz w:val="18"/>
              </w:rPr>
              <w:t>Useful for local/demo work. Reclamation, sleep/cold starts, stateful WebSocket coordination, UDP relay needs and several component bills make it a poor default for full V1.</w:t>
            </w:r>
          </w:p>
        </w:tc>
      </w:tr>
    </w:tbl>
    <w:p>
      <w:r>
        <w:t>Select DigitalOcean Regular bundled Basic plans, not an unreviewed v5 usage-priced configuration. CPU is shared and performance can vary. The USD 24 app has 2 vCPU, 4 GiB RAM, 80 GiB SSD and 4000 GiB outbound; the USD 6 relay has 1 vCPU, 1 GiB RAM, 25 GiB SSD and 1000 GiB outbound. Full-month eligible Droplet allowances pool to 5000 GiB; inbound is free and excess outbound is USD 0.01/GiB under current rules. Transfer allowance does not prove call capacity. [S11, S16]</w:t>
      </w:r>
    </w:p>
    <w:p>
      <w:r>
        <w:t>Lightsail Mumbai includes half the general-region transfer allowance: the USD 24 IPv4 4-GB app has 2 TB and the USD 7 relay has 1 TB. Inbound plus outbound consume allowance; excess outbound is chargeable, at USD 0.13/GB for Mumbai VMs. Different bundles do not share their allowance. CPU burst credits need monitoring; two nominal vCPUs are not two dedicated sustained cores. DigitalOcean is attractive for uncertain audio usage, though it too has shared CPU. [S18, S19, S20]</w:t>
      </w:r>
    </w:p>
    <w:p>
      <w:pPr>
        <w:pStyle w:val="Heading2"/>
      </w:pPr>
      <w:r>
        <w:t>2.4 Existing architecture against the optimized design</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1800"/>
            <w:shd w:fill="17334A"/>
          </w:tcPr>
          <w:p>
            <w:pPr>
              <w:spacing w:after="100" w:before="80"/>
            </w:pPr>
            <w:r>
              <w:rPr>
                <w:b/>
                <w:color w:val="FFFFFF"/>
                <w:sz w:val="18"/>
              </w:rPr>
              <w:t>Area</w:t>
            </w:r>
          </w:p>
        </w:tc>
        <w:tc>
          <w:tcPr>
            <w:tcW w:type="dxa" w:w="3240"/>
            <w:shd w:fill="17334A"/>
          </w:tcPr>
          <w:p>
            <w:pPr>
              <w:spacing w:after="100" w:before="80"/>
            </w:pPr>
            <w:r>
              <w:rPr>
                <w:b/>
                <w:color w:val="FFFFFF"/>
                <w:sz w:val="18"/>
              </w:rPr>
              <w:t>Existing blueprint</w:t>
            </w:r>
          </w:p>
        </w:tc>
        <w:tc>
          <w:tcPr>
            <w:tcW w:type="dxa" w:w="4608"/>
            <w:shd w:fill="17334A"/>
          </w:tcPr>
          <w:p>
            <w:pPr>
              <w:spacing w:after="100" w:before="80"/>
            </w:pPr>
            <w:r>
              <w:rPr>
                <w:b/>
                <w:color w:val="FFFFFF"/>
                <w:sz w:val="18"/>
              </w:rPr>
              <w:t>Optimized V3.2</w:t>
            </w:r>
          </w:p>
        </w:tc>
      </w:tr>
      <w:tr>
        <w:trPr>
          <w:cantSplit/>
        </w:trPr>
        <w:tc>
          <w:tcPr>
            <w:tcW w:type="dxa" w:w="1800"/>
            <w:shd w:fill="F0F4F7"/>
          </w:tcPr>
          <w:p>
            <w:pPr>
              <w:spacing w:after="100" w:before="80"/>
            </w:pPr>
            <w:r>
              <w:rPr>
                <w:sz w:val="18"/>
              </w:rPr>
              <w:t>Application host</w:t>
            </w:r>
          </w:p>
        </w:tc>
        <w:tc>
          <w:tcPr>
            <w:tcW w:type="dxa" w:w="3240"/>
            <w:shd w:fill="F0F4F7"/>
          </w:tcPr>
          <w:p>
            <w:pPr>
              <w:spacing w:after="100" w:before="80"/>
            </w:pPr>
            <w:r>
              <w:rPr>
                <w:sz w:val="18"/>
              </w:rPr>
              <w:t>2 vCPU / 4 GiB at USD 24</w:t>
            </w:r>
          </w:p>
        </w:tc>
        <w:tc>
          <w:tcPr>
            <w:tcW w:type="dxa" w:w="4608"/>
            <w:shd w:fill="F0F4F7"/>
          </w:tcPr>
          <w:p>
            <w:pPr>
              <w:spacing w:after="100" w:before="80"/>
            </w:pPr>
            <w:r>
              <w:rPr>
                <w:sz w:val="18"/>
              </w:rPr>
              <w:t>Retain 2 vCPU / 4 GiB at USD 24; validate the mandatory combined workload before launch</w:t>
            </w:r>
          </w:p>
        </w:tc>
      </w:tr>
      <w:tr>
        <w:trPr>
          <w:cantSplit/>
        </w:trPr>
        <w:tc>
          <w:tcPr>
            <w:tcW w:type="dxa" w:w="1800"/>
            <w:shd w:fill="FFFFFF"/>
          </w:tcPr>
          <w:p>
            <w:pPr>
              <w:spacing w:after="100" w:before="80"/>
            </w:pPr>
            <w:r>
              <w:rPr>
                <w:sz w:val="18"/>
              </w:rPr>
              <w:t>Audio host</w:t>
            </w:r>
          </w:p>
        </w:tc>
        <w:tc>
          <w:tcPr>
            <w:tcW w:type="dxa" w:w="3240"/>
            <w:shd w:fill="FFFFFF"/>
          </w:tcPr>
          <w:p>
            <w:pPr>
              <w:spacing w:after="100" w:before="80"/>
            </w:pPr>
            <w:r>
              <w:rPr>
                <w:sz w:val="18"/>
              </w:rPr>
              <w:t>Separate 1 vCPU / 1 GiB at USD 6</w:t>
            </w:r>
          </w:p>
        </w:tc>
        <w:tc>
          <w:tcPr>
            <w:tcW w:type="dxa" w:w="4608"/>
            <w:shd w:fill="FFFFFF"/>
          </w:tcPr>
          <w:p>
            <w:pPr>
              <w:spacing w:after="100" w:before="80"/>
            </w:pPr>
            <w:r>
              <w:rPr>
                <w:sz w:val="18"/>
              </w:rPr>
              <w:t>Retained; safer isolation and straightforward TURN/TLS on port 443</w:t>
            </w:r>
          </w:p>
        </w:tc>
      </w:tr>
      <w:tr>
        <w:trPr>
          <w:cantSplit/>
        </w:trPr>
        <w:tc>
          <w:tcPr>
            <w:tcW w:type="dxa" w:w="1800"/>
            <w:shd w:fill="F0F4F7"/>
          </w:tcPr>
          <w:p>
            <w:pPr>
              <w:spacing w:after="100" w:before="80"/>
            </w:pPr>
            <w:r>
              <w:rPr>
                <w:sz w:val="18"/>
              </w:rPr>
              <w:t>Database and frontend</w:t>
            </w:r>
          </w:p>
        </w:tc>
        <w:tc>
          <w:tcPr>
            <w:tcW w:type="dxa" w:w="3240"/>
            <w:shd w:fill="F0F4F7"/>
          </w:tcPr>
          <w:p>
            <w:pPr>
              <w:spacing w:after="100" w:before="80"/>
            </w:pPr>
            <w:r>
              <w:rPr>
                <w:sz w:val="18"/>
              </w:rPr>
              <w:t>PostgreSQL; static SvelteKit; Go</w:t>
            </w:r>
          </w:p>
        </w:tc>
        <w:tc>
          <w:tcPr>
            <w:tcW w:type="dxa" w:w="4608"/>
            <w:shd w:fill="F0F4F7"/>
          </w:tcPr>
          <w:p>
            <w:pPr>
              <w:spacing w:after="100" w:before="80"/>
            </w:pPr>
            <w:r>
              <w:rPr>
                <w:sz w:val="18"/>
              </w:rPr>
              <w:t>Retain PostgreSQL, Go and one static SvelteKit frontend; mobile-first responsive layouts with complete desktop feature parity</w:t>
            </w:r>
          </w:p>
        </w:tc>
      </w:tr>
      <w:tr>
        <w:trPr>
          <w:cantSplit/>
        </w:trPr>
        <w:tc>
          <w:tcPr>
            <w:tcW w:type="dxa" w:w="1800"/>
            <w:shd w:fill="FFFFFF"/>
          </w:tcPr>
          <w:p>
            <w:pPr>
              <w:spacing w:after="100" w:before="80"/>
            </w:pPr>
            <w:r>
              <w:rPr>
                <w:sz w:val="18"/>
              </w:rPr>
              <w:t>Backup/log store</w:t>
            </w:r>
          </w:p>
        </w:tc>
        <w:tc>
          <w:tcPr>
            <w:tcW w:type="dxa" w:w="3240"/>
            <w:shd w:fill="FFFFFF"/>
          </w:tcPr>
          <w:p>
            <w:pPr>
              <w:spacing w:after="100" w:before="80"/>
            </w:pPr>
            <w:r>
              <w:rPr>
                <w:sz w:val="18"/>
              </w:rPr>
              <w:t>Spaces minimum USD 5</w:t>
            </w:r>
          </w:p>
        </w:tc>
        <w:tc>
          <w:tcPr>
            <w:tcW w:type="dxa" w:w="4608"/>
            <w:shd w:fill="FFFFFF"/>
          </w:tcPr>
          <w:p>
            <w:pPr>
              <w:spacing w:after="100" w:before="80"/>
            </w:pPr>
            <w:r>
              <w:rPr>
                <w:sz w:val="18"/>
              </w:rPr>
              <w:t>S3 Mumbai USD 2 planning allowance; optional Spaces for one-provider simplicity</w:t>
            </w:r>
          </w:p>
        </w:tc>
      </w:tr>
      <w:tr>
        <w:trPr>
          <w:cantSplit/>
        </w:trPr>
        <w:tc>
          <w:tcPr>
            <w:tcW w:type="dxa" w:w="1800"/>
            <w:shd w:fill="F0F4F7"/>
          </w:tcPr>
          <w:p>
            <w:pPr>
              <w:spacing w:after="100" w:before="80"/>
            </w:pPr>
            <w:r>
              <w:rPr>
                <w:sz w:val="18"/>
              </w:rPr>
              <w:t>User email</w:t>
            </w:r>
          </w:p>
        </w:tc>
        <w:tc>
          <w:tcPr>
            <w:tcW w:type="dxa" w:w="3240"/>
            <w:shd w:fill="F0F4F7"/>
          </w:tcPr>
          <w:p>
            <w:pPr>
              <w:spacing w:after="100" w:before="80"/>
            </w:pPr>
            <w:r>
              <w:rPr>
                <w:sz w:val="18"/>
              </w:rPr>
              <w:t>Residual optional email/support workflows in V2.1</w:t>
            </w:r>
          </w:p>
        </w:tc>
        <w:tc>
          <w:tcPr>
            <w:tcW w:type="dxa" w:w="4608"/>
            <w:shd w:fill="F0F4F7"/>
          </w:tcPr>
          <w:p>
            <w:pPr>
              <w:spacing w:after="100" w:before="80"/>
            </w:pPr>
            <w:r>
              <w:rPr>
                <w:sz w:val="18"/>
              </w:rPr>
              <w:t>Removed completely; account receipts, in-app tickets and secure public grievance status</w:t>
            </w:r>
          </w:p>
        </w:tc>
      </w:tr>
      <w:tr>
        <w:trPr>
          <w:cantSplit/>
        </w:trPr>
        <w:tc>
          <w:tcPr>
            <w:tcW w:type="dxa" w:w="1800"/>
            <w:shd w:fill="FFFFFF"/>
          </w:tcPr>
          <w:p>
            <w:pPr>
              <w:spacing w:after="100" w:before="80"/>
            </w:pPr>
            <w:r>
              <w:rPr>
                <w:sz w:val="18"/>
              </w:rPr>
              <w:t>Gateway</w:t>
            </w:r>
          </w:p>
        </w:tc>
        <w:tc>
          <w:tcPr>
            <w:tcW w:type="dxa" w:w="3240"/>
            <w:shd w:fill="FFFFFF"/>
          </w:tcPr>
          <w:p>
            <w:pPr>
              <w:spacing w:after="100" w:before="80"/>
            </w:pPr>
            <w:r>
              <w:rPr>
                <w:sz w:val="18"/>
              </w:rPr>
              <w:t>Razorpay assumed candidate</w:t>
            </w:r>
          </w:p>
        </w:tc>
        <w:tc>
          <w:tcPr>
            <w:tcW w:type="dxa" w:w="4608"/>
            <w:shd w:fill="FFFFFF"/>
          </w:tcPr>
          <w:p>
            <w:pPr>
              <w:spacing w:after="100" w:before="80"/>
            </w:pPr>
            <w:r>
              <w:rPr>
                <w:sz w:val="18"/>
              </w:rPr>
              <w:t>Cashfree first underwriting candidate; actual category acceptance precedes production integration</w:t>
            </w:r>
          </w:p>
        </w:tc>
      </w:tr>
      <w:tr>
        <w:trPr>
          <w:cantSplit/>
        </w:trPr>
        <w:tc>
          <w:tcPr>
            <w:tcW w:type="dxa" w:w="1800"/>
            <w:shd w:fill="F0F4F7"/>
          </w:tcPr>
          <w:p>
            <w:pPr>
              <w:spacing w:after="100" w:before="80"/>
            </w:pPr>
            <w:r>
              <w:rPr>
                <w:sz w:val="18"/>
              </w:rPr>
              <w:t>Required minimum capacity</w:t>
            </w:r>
          </w:p>
        </w:tc>
        <w:tc>
          <w:tcPr>
            <w:tcW w:type="dxa" w:w="3240"/>
            <w:shd w:fill="F0F4F7"/>
          </w:tcPr>
          <w:p>
            <w:pPr>
              <w:spacing w:after="100" w:before="80"/>
            </w:pPr>
            <w:r>
              <w:rPr>
                <w:sz w:val="18"/>
              </w:rPr>
              <w:t>200 connected / 100 waiting / 25 calls</w:t>
            </w:r>
          </w:p>
        </w:tc>
        <w:tc>
          <w:tcPr>
            <w:tcW w:type="dxa" w:w="4608"/>
            <w:shd w:fill="F0F4F7"/>
          </w:tcPr>
          <w:p>
            <w:pPr>
              <w:spacing w:after="100" w:before="80"/>
            </w:pPr>
            <w:r>
              <w:rPr>
                <w:sz w:val="18"/>
              </w:rPr>
              <w:t>At least 200 connected and 25 concurrent calls; initial queue limit 100. Passing mixed-load tests are mandatory.</w:t>
            </w:r>
          </w:p>
        </w:tc>
      </w:tr>
      <w:tr>
        <w:trPr>
          <w:cantSplit/>
        </w:trPr>
        <w:tc>
          <w:tcPr>
            <w:tcW w:type="dxa" w:w="1800"/>
            <w:shd w:fill="FFFFFF"/>
          </w:tcPr>
          <w:p>
            <w:pPr>
              <w:spacing w:after="100" w:before="80"/>
            </w:pPr>
            <w:r>
              <w:rPr>
                <w:sz w:val="18"/>
              </w:rPr>
              <w:t>TURN ports</w:t>
            </w:r>
          </w:p>
        </w:tc>
        <w:tc>
          <w:tcPr>
            <w:tcW w:type="dxa" w:w="3240"/>
            <w:shd w:fill="FFFFFF"/>
          </w:tcPr>
          <w:p>
            <w:pPr>
              <w:spacing w:after="100" w:before="80"/>
            </w:pPr>
            <w:r>
              <w:rPr>
                <w:sz w:val="18"/>
              </w:rPr>
              <w:t>100-port range insufficient for configured larger allowance</w:t>
            </w:r>
          </w:p>
        </w:tc>
        <w:tc>
          <w:tcPr>
            <w:tcW w:type="dxa" w:w="4608"/>
            <w:shd w:fill="FFFFFF"/>
          </w:tcPr>
          <w:p>
            <w:pPr>
              <w:spacing w:after="100" w:before="80"/>
            </w:pPr>
            <w:r>
              <w:rPr>
                <w:sz w:val="18"/>
              </w:rPr>
              <w:t>1024-port bounded range with matching firewall rules and measured allocation quotas</w:t>
            </w:r>
          </w:p>
        </w:tc>
      </w:tr>
      <w:tr>
        <w:trPr>
          <w:cantSplit/>
        </w:trPr>
        <w:tc>
          <w:tcPr>
            <w:tcW w:type="dxa" w:w="1800"/>
            <w:shd w:fill="F0F4F7"/>
          </w:tcPr>
          <w:p>
            <w:pPr>
              <w:spacing w:after="100" w:before="80"/>
            </w:pPr>
            <w:r>
              <w:rPr>
                <w:sz w:val="18"/>
              </w:rPr>
              <w:t>Staging and observability</w:t>
            </w:r>
          </w:p>
        </w:tc>
        <w:tc>
          <w:tcPr>
            <w:tcW w:type="dxa" w:w="3240"/>
            <w:shd w:fill="F0F4F7"/>
          </w:tcPr>
          <w:p>
            <w:pPr>
              <w:spacing w:after="100" w:before="80"/>
            </w:pPr>
            <w:r>
              <w:rPr>
                <w:sz w:val="18"/>
              </w:rPr>
              <w:t>Potential recurring allowances not specified</w:t>
            </w:r>
          </w:p>
        </w:tc>
        <w:tc>
          <w:tcPr>
            <w:tcW w:type="dxa" w:w="4608"/>
            <w:shd w:fill="F0F4F7"/>
          </w:tcPr>
          <w:p>
            <w:pPr>
              <w:spacing w:after="100" w:before="80"/>
            </w:pPr>
            <w:r>
              <w:rPr>
                <w:sz w:val="18"/>
              </w:rPr>
              <w:t>Local + temporary staging, redacted logs/private metrics, external checks, no paid APM</w:t>
            </w:r>
          </w:p>
        </w:tc>
      </w:tr>
      <w:tr>
        <w:trPr>
          <w:cantSplit/>
        </w:trPr>
        <w:tc>
          <w:tcPr>
            <w:tcW w:type="dxa" w:w="1800"/>
            <w:shd w:fill="FFFFFF"/>
          </w:tcPr>
          <w:p>
            <w:pPr>
              <w:spacing w:after="100" w:before="80"/>
            </w:pPr>
            <w:r>
              <w:rPr>
                <w:sz w:val="18"/>
              </w:rPr>
              <w:t>Full-month cloud allowance</w:t>
            </w:r>
          </w:p>
        </w:tc>
        <w:tc>
          <w:tcPr>
            <w:tcW w:type="dxa" w:w="3240"/>
            <w:shd w:fill="FFFFFF"/>
          </w:tcPr>
          <w:p>
            <w:pPr>
              <w:spacing w:after="100" w:before="80"/>
            </w:pPr>
            <w:r>
              <w:rPr>
                <w:sz w:val="18"/>
              </w:rPr>
              <w:t>USD 35</w:t>
            </w:r>
          </w:p>
        </w:tc>
        <w:tc>
          <w:tcPr>
            <w:tcW w:type="dxa" w:w="4608"/>
            <w:shd w:fill="FFFFFF"/>
          </w:tcPr>
          <w:p>
            <w:pPr>
              <w:spacing w:after="100" w:before="80"/>
            </w:pPr>
            <w:r>
              <w:rPr>
                <w:sz w:val="18"/>
              </w:rPr>
              <w:t>USD 32; about 8.6 percent lower cloud allowance with the original host sizes retained</w:t>
            </w:r>
          </w:p>
        </w:tc>
      </w:tr>
    </w:tbl>
    <w:p>
      <w:r>
        <w:t>Do not cohost TURN merely to save USD 6: on one IP, HTTPS and TURN/TLS both need port 443 for the intended connectivity. Another IP or routing layer adds complexity, and voice abuse can affect database availability. Do not replace relay-only audio with direct peer-to-peer media to save bandwidth; that would change the privacy requirement.</w:t>
      </w:r>
    </w:p>
    <w:p>
      <w:r>
        <w:t>Do not add Redis, Kafka, RabbitMQ, Kubernetes, service mesh, search clusters, a standalone analytics warehouse, an SFU, managed chat, SMS OTP, a paid email provider, push notifications, permanent staging or a paid frontend host. These are absent because current requirements do not need them. Keep report/moderation, backups, security logs, admin MFA, recovery and reconciliation.</w:t>
      </w:r>
    </w:p>
    <w:p>
      <w:pPr>
        <w:pStyle w:val="Heading1"/>
      </w:pPr>
      <w:r>
        <w:t>3 Costs assumptions and operating scenarios</w:t>
      </w:r>
    </w:p>
    <w:p>
      <w:pPr>
        <w:pStyle w:val="Heading2"/>
      </w:pPr>
      <w:r>
        <w:t>3.1 Explicit estimating assumptions</w:t>
      </w:r>
    </w:p>
    <w:p>
      <w:r>
        <w:t>Use INR 97 per USD solely as a conservative budgeting assumption, not a live exchange-rate quote. Model 18 percent hosting GST as cash paid, without subtracting input-tax credits. Actual supplier invoice, card FX, tax treatment and region control. Domain renewal is a planning allowance of INR 1500 per year inclusive of any tax, averaged to INR 125/month; the actual domain payment is annual.</w:t>
      </w:r>
    </w:p>
    <w:p>
      <w:r>
        <w:t>All production VMs run for a full month on ordinary public IPv4 bundled plans. Storage assumes initially no more than 20 GB of retained compressed database backups, WAL, required security logs, deletion/hold journals and minimal report data, with batched uploads and modest restore downloads. The USD 2 S3 figure is an allowance, not an AWS fixed plan or hard cap. Price the measured Mumbai storage, requests and restore traffic before launch. S3 has no minimum storage fee. [S17]</w:t>
      </w:r>
    </w:p>
    <w:p>
      <w:r>
        <w:t>Keep 30 days of database recovery data and the required 180-day India security-log window; do not cut retention to fit a cost allowance. Compression, log redaction and lifecycle expiry reduce bytes. Enforced policy may require more storage later. A fifteen-minute WAL archival target can generate many segment objects even with low write volume; inspect compressed bytes and request counts. Budget alarms do not automatically stop a cloud bill.</w:t>
      </w:r>
    </w:p>
    <w:p>
      <w:r>
        <w:t>User-email/SMS, paid licenses, auto-renewal billing, paid CDN/APM and permanent staging are zero in this scenario. Existing permitted free CI, provider dashboards and an external availability check are assumed adequate at initial volume; verify quotas and commercial terms. Temporary staging, deployment/monitoring tools and any extra usage draw from the reserve and must be recorded. No free compute credit or payment promotion is included in the year-two baseline. Mobile and desktop share one frontend build and deployment; responsive layouts add implementation and testing effort, with no separate hosting subscription.</w:t>
      </w:r>
    </w:p>
    <w:p>
      <w:pPr>
        <w:pStyle w:val="Heading2"/>
      </w:pPr>
      <w:r>
        <w:t>3.2 Required-capacity monthly budget</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4680"/>
            <w:shd w:fill="17334A"/>
          </w:tcPr>
          <w:p>
            <w:pPr>
              <w:spacing w:after="100" w:before="80"/>
            </w:pPr>
            <w:r>
              <w:rPr>
                <w:b/>
                <w:color w:val="FFFFFF"/>
                <w:sz w:val="18"/>
              </w:rPr>
              <w:t>Component</w:t>
            </w:r>
          </w:p>
        </w:tc>
        <w:tc>
          <w:tcPr>
            <w:tcW w:type="dxa" w:w="2232"/>
            <w:shd w:fill="17334A"/>
          </w:tcPr>
          <w:p>
            <w:pPr>
              <w:spacing w:after="100" w:before="80"/>
            </w:pPr>
            <w:r>
              <w:rPr>
                <w:b/>
                <w:color w:val="FFFFFF"/>
                <w:sz w:val="18"/>
              </w:rPr>
              <w:t>USD / month</w:t>
            </w:r>
          </w:p>
        </w:tc>
        <w:tc>
          <w:tcPr>
            <w:tcW w:type="dxa" w:w="2736"/>
            <w:shd w:fill="17334A"/>
          </w:tcPr>
          <w:p>
            <w:pPr>
              <w:spacing w:after="100" w:before="80"/>
            </w:pPr>
            <w:r>
              <w:rPr>
                <w:b/>
                <w:color w:val="FFFFFF"/>
                <w:sz w:val="18"/>
              </w:rPr>
              <w:t>INR / month</w:t>
            </w:r>
          </w:p>
        </w:tc>
      </w:tr>
      <w:tr>
        <w:trPr>
          <w:cantSplit/>
        </w:trPr>
        <w:tc>
          <w:tcPr>
            <w:tcW w:type="dxa" w:w="4680"/>
            <w:shd w:fill="F0F4F7"/>
          </w:tcPr>
          <w:p>
            <w:pPr>
              <w:spacing w:after="100" w:before="80"/>
            </w:pPr>
            <w:r>
              <w:rPr>
                <w:sz w:val="18"/>
              </w:rPr>
              <w:t>Application and PostgreSQL VM</w:t>
            </w:r>
          </w:p>
        </w:tc>
        <w:tc>
          <w:tcPr>
            <w:tcW w:type="dxa" w:w="2232"/>
            <w:shd w:fill="F0F4F7"/>
          </w:tcPr>
          <w:p>
            <w:pPr>
              <w:spacing w:after="100" w:before="80"/>
            </w:pPr>
            <w:r>
              <w:rPr>
                <w:sz w:val="18"/>
              </w:rPr>
              <w:t>24.00</w:t>
            </w:r>
          </w:p>
        </w:tc>
        <w:tc>
          <w:tcPr>
            <w:tcW w:type="dxa" w:w="2736"/>
            <w:shd w:fill="F0F4F7"/>
          </w:tcPr>
          <w:p>
            <w:pPr>
              <w:spacing w:after="100" w:before="80"/>
            </w:pPr>
            <w:r>
              <w:rPr>
                <w:sz w:val="18"/>
              </w:rPr>
              <w:t>2747.04</w:t>
            </w:r>
          </w:p>
        </w:tc>
      </w:tr>
      <w:tr>
        <w:trPr>
          <w:cantSplit/>
        </w:trPr>
        <w:tc>
          <w:tcPr>
            <w:tcW w:type="dxa" w:w="4680"/>
            <w:shd w:fill="FFFFFF"/>
          </w:tcPr>
          <w:p>
            <w:pPr>
              <w:spacing w:after="100" w:before="80"/>
            </w:pPr>
            <w:r>
              <w:rPr>
                <w:sz w:val="18"/>
              </w:rPr>
              <w:t>Separate coturn VM</w:t>
            </w:r>
          </w:p>
        </w:tc>
        <w:tc>
          <w:tcPr>
            <w:tcW w:type="dxa" w:w="2232"/>
            <w:shd w:fill="FFFFFF"/>
          </w:tcPr>
          <w:p>
            <w:pPr>
              <w:spacing w:after="100" w:before="80"/>
            </w:pPr>
            <w:r>
              <w:rPr>
                <w:sz w:val="18"/>
              </w:rPr>
              <w:t>6.00</w:t>
            </w:r>
          </w:p>
        </w:tc>
        <w:tc>
          <w:tcPr>
            <w:tcW w:type="dxa" w:w="2736"/>
            <w:shd w:fill="FFFFFF"/>
          </w:tcPr>
          <w:p>
            <w:pPr>
              <w:spacing w:after="100" w:before="80"/>
            </w:pPr>
            <w:r>
              <w:rPr>
                <w:sz w:val="18"/>
              </w:rPr>
              <w:t>686.76</w:t>
            </w:r>
          </w:p>
        </w:tc>
      </w:tr>
      <w:tr>
        <w:trPr>
          <w:cantSplit/>
        </w:trPr>
        <w:tc>
          <w:tcPr>
            <w:tcW w:type="dxa" w:w="4680"/>
            <w:shd w:fill="F0F4F7"/>
          </w:tcPr>
          <w:p>
            <w:pPr>
              <w:spacing w:after="100" w:before="80"/>
            </w:pPr>
            <w:r>
              <w:rPr>
                <w:sz w:val="18"/>
              </w:rPr>
              <w:t>S3 backup/log/request allowance</w:t>
            </w:r>
          </w:p>
        </w:tc>
        <w:tc>
          <w:tcPr>
            <w:tcW w:type="dxa" w:w="2232"/>
            <w:shd w:fill="F0F4F7"/>
          </w:tcPr>
          <w:p>
            <w:pPr>
              <w:spacing w:after="100" w:before="80"/>
            </w:pPr>
            <w:r>
              <w:rPr>
                <w:sz w:val="18"/>
              </w:rPr>
              <w:t>2.00 allowance</w:t>
            </w:r>
          </w:p>
        </w:tc>
        <w:tc>
          <w:tcPr>
            <w:tcW w:type="dxa" w:w="2736"/>
            <w:shd w:fill="F0F4F7"/>
          </w:tcPr>
          <w:p>
            <w:pPr>
              <w:spacing w:after="100" w:before="80"/>
            </w:pPr>
            <w:r>
              <w:rPr>
                <w:sz w:val="18"/>
              </w:rPr>
              <w:t>228.92 allowance</w:t>
            </w:r>
          </w:p>
        </w:tc>
      </w:tr>
      <w:tr>
        <w:trPr>
          <w:cantSplit/>
        </w:trPr>
        <w:tc>
          <w:tcPr>
            <w:tcW w:type="dxa" w:w="4680"/>
            <w:shd w:fill="FFFFFF"/>
          </w:tcPr>
          <w:p>
            <w:pPr>
              <w:spacing w:after="100" w:before="80"/>
            </w:pPr>
            <w:r>
              <w:rPr>
                <w:sz w:val="18"/>
              </w:rPr>
              <w:t>Domain renewal averaged monthly</w:t>
            </w:r>
          </w:p>
        </w:tc>
        <w:tc>
          <w:tcPr>
            <w:tcW w:type="dxa" w:w="2232"/>
            <w:shd w:fill="FFFFFF"/>
          </w:tcPr>
          <w:p>
            <w:pPr>
              <w:spacing w:after="100" w:before="80"/>
            </w:pPr>
            <w:r>
              <w:rPr>
                <w:sz w:val="18"/>
              </w:rPr>
              <w:t>Annual INR charge</w:t>
            </w:r>
          </w:p>
        </w:tc>
        <w:tc>
          <w:tcPr>
            <w:tcW w:type="dxa" w:w="2736"/>
            <w:shd w:fill="FFFFFF"/>
          </w:tcPr>
          <w:p>
            <w:pPr>
              <w:spacing w:after="100" w:before="80"/>
            </w:pPr>
            <w:r>
              <w:rPr>
                <w:sz w:val="18"/>
              </w:rPr>
              <w:t>125.00</w:t>
            </w:r>
          </w:p>
        </w:tc>
      </w:tr>
      <w:tr>
        <w:trPr>
          <w:cantSplit/>
        </w:trPr>
        <w:tc>
          <w:tcPr>
            <w:tcW w:type="dxa" w:w="4680"/>
            <w:shd w:fill="F0F4F7"/>
          </w:tcPr>
          <w:p>
            <w:pPr>
              <w:spacing w:after="100" w:before="80"/>
            </w:pPr>
            <w:r>
              <w:rPr>
                <w:sz w:val="18"/>
              </w:rPr>
              <w:t>Outgoing user email and SMS</w:t>
            </w:r>
          </w:p>
        </w:tc>
        <w:tc>
          <w:tcPr>
            <w:tcW w:type="dxa" w:w="2232"/>
            <w:shd w:fill="F0F4F7"/>
          </w:tcPr>
          <w:p>
            <w:pPr>
              <w:spacing w:after="100" w:before="80"/>
            </w:pPr>
            <w:r>
              <w:rPr>
                <w:sz w:val="18"/>
              </w:rPr>
              <w:t>0</w:t>
            </w:r>
          </w:p>
        </w:tc>
        <w:tc>
          <w:tcPr>
            <w:tcW w:type="dxa" w:w="2736"/>
            <w:shd w:fill="F0F4F7"/>
          </w:tcPr>
          <w:p>
            <w:pPr>
              <w:spacing w:after="100" w:before="80"/>
            </w:pPr>
            <w:r>
              <w:rPr>
                <w:sz w:val="18"/>
              </w:rPr>
              <w:t>0</w:t>
            </w:r>
          </w:p>
        </w:tc>
      </w:tr>
      <w:tr>
        <w:trPr>
          <w:cantSplit/>
        </w:trPr>
        <w:tc>
          <w:tcPr>
            <w:tcW w:type="dxa" w:w="4680"/>
            <w:shd w:fill="FFFFFF"/>
          </w:tcPr>
          <w:p>
            <w:pPr>
              <w:spacing w:after="100" w:before="80"/>
            </w:pPr>
            <w:r>
              <w:rPr>
                <w:sz w:val="18"/>
              </w:rPr>
              <w:t>Frontend hosting, TLS, extra database service</w:t>
            </w:r>
          </w:p>
        </w:tc>
        <w:tc>
          <w:tcPr>
            <w:tcW w:type="dxa" w:w="2232"/>
            <w:shd w:fill="FFFFFF"/>
          </w:tcPr>
          <w:p>
            <w:pPr>
              <w:spacing w:after="100" w:before="80"/>
            </w:pPr>
            <w:r>
              <w:rPr>
                <w:sz w:val="18"/>
              </w:rPr>
              <w:t>0 additional</w:t>
            </w:r>
          </w:p>
        </w:tc>
        <w:tc>
          <w:tcPr>
            <w:tcW w:type="dxa" w:w="2736"/>
            <w:shd w:fill="FFFFFF"/>
          </w:tcPr>
          <w:p>
            <w:pPr>
              <w:spacing w:after="100" w:before="80"/>
            </w:pPr>
            <w:r>
              <w:rPr>
                <w:sz w:val="18"/>
              </w:rPr>
              <w:t>0</w:t>
            </w:r>
          </w:p>
        </w:tc>
      </w:tr>
      <w:tr>
        <w:trPr>
          <w:cantSplit/>
        </w:trPr>
        <w:tc>
          <w:tcPr>
            <w:tcW w:type="dxa" w:w="4680"/>
            <w:shd w:fill="F0F4F7"/>
          </w:tcPr>
          <w:p>
            <w:pPr>
              <w:spacing w:after="100" w:before="80"/>
            </w:pPr>
            <w:r>
              <w:rPr>
                <w:sz w:val="18"/>
              </w:rPr>
              <w:t>Estimated technical cash expense</w:t>
            </w:r>
          </w:p>
        </w:tc>
        <w:tc>
          <w:tcPr>
            <w:tcW w:type="dxa" w:w="2232"/>
            <w:shd w:fill="F0F4F7"/>
          </w:tcPr>
          <w:p>
            <w:pPr>
              <w:spacing w:after="100" w:before="80"/>
            </w:pPr>
            <w:r>
              <w:rPr>
                <w:sz w:val="18"/>
              </w:rPr>
              <w:t>32.00 cloud + domain</w:t>
            </w:r>
          </w:p>
        </w:tc>
        <w:tc>
          <w:tcPr>
            <w:tcW w:type="dxa" w:w="2736"/>
            <w:shd w:fill="F0F4F7"/>
          </w:tcPr>
          <w:p>
            <w:pPr>
              <w:spacing w:after="100" w:before="80"/>
            </w:pPr>
            <w:r>
              <w:rPr>
                <w:sz w:val="18"/>
              </w:rPr>
              <w:t>3787.72</w:t>
            </w:r>
          </w:p>
        </w:tc>
      </w:tr>
      <w:tr>
        <w:trPr>
          <w:cantSplit/>
        </w:trPr>
        <w:tc>
          <w:tcPr>
            <w:tcW w:type="dxa" w:w="4680"/>
            <w:shd w:fill="FFFFFF"/>
          </w:tcPr>
          <w:p>
            <w:pPr>
              <w:spacing w:after="100" w:before="80"/>
            </w:pPr>
            <w:r>
              <w:rPr>
                <w:sz w:val="18"/>
              </w:rPr>
              <w:t>Contingency set aside, not a subscription</w:t>
            </w:r>
          </w:p>
        </w:tc>
        <w:tc>
          <w:tcPr>
            <w:tcW w:type="dxa" w:w="2232"/>
            <w:shd w:fill="FFFFFF"/>
          </w:tcPr>
          <w:p>
            <w:pPr>
              <w:spacing w:after="100" w:before="80"/>
            </w:pPr>
            <w:r>
              <w:rPr>
                <w:sz w:val="18"/>
              </w:rPr>
              <w:t>Not a vendor bill</w:t>
            </w:r>
          </w:p>
        </w:tc>
        <w:tc>
          <w:tcPr>
            <w:tcW w:type="dxa" w:w="2736"/>
            <w:shd w:fill="FFFFFF"/>
          </w:tcPr>
          <w:p>
            <w:pPr>
              <w:spacing w:after="100" w:before="80"/>
            </w:pPr>
            <w:r>
              <w:rPr>
                <w:sz w:val="18"/>
              </w:rPr>
              <w:t>250.00</w:t>
            </w:r>
          </w:p>
        </w:tc>
      </w:tr>
      <w:tr>
        <w:trPr>
          <w:cantSplit/>
        </w:trPr>
        <w:tc>
          <w:tcPr>
            <w:tcW w:type="dxa" w:w="4680"/>
            <w:shd w:fill="F0F4F7"/>
          </w:tcPr>
          <w:p>
            <w:pPr>
              <w:spacing w:after="100" w:before="80"/>
            </w:pPr>
            <w:r>
              <w:rPr>
                <w:sz w:val="18"/>
              </w:rPr>
              <w:t>Calculated monthly funding requirement</w:t>
            </w:r>
          </w:p>
        </w:tc>
        <w:tc>
          <w:tcPr>
            <w:tcW w:type="dxa" w:w="2232"/>
            <w:shd w:fill="F0F4F7"/>
          </w:tcPr>
          <w:p>
            <w:pPr>
              <w:spacing w:after="100" w:before="80"/>
            </w:pPr>
            <w:r>
              <w:rPr>
                <w:sz w:val="18"/>
              </w:rPr>
              <w:t>Includes reserve</w:t>
            </w:r>
          </w:p>
        </w:tc>
        <w:tc>
          <w:tcPr>
            <w:tcW w:type="dxa" w:w="2736"/>
            <w:shd w:fill="F0F4F7"/>
          </w:tcPr>
          <w:p>
            <w:pPr>
              <w:spacing w:after="100" w:before="80"/>
            </w:pPr>
            <w:r>
              <w:rPr>
                <w:sz w:val="18"/>
              </w:rPr>
              <w:t>4037.72</w:t>
            </w:r>
          </w:p>
        </w:tc>
      </w:tr>
      <w:tr>
        <w:trPr>
          <w:cantSplit/>
        </w:trPr>
        <w:tc>
          <w:tcPr>
            <w:tcW w:type="dxa" w:w="4680"/>
            <w:shd w:fill="FFFFFF"/>
          </w:tcPr>
          <w:p>
            <w:pPr>
              <w:spacing w:after="100" w:before="80"/>
            </w:pPr>
            <w:r>
              <w:rPr>
                <w:sz w:val="18"/>
              </w:rPr>
              <w:t>Practical rounded monthly budget</w:t>
            </w:r>
          </w:p>
        </w:tc>
        <w:tc>
          <w:tcPr>
            <w:tcW w:type="dxa" w:w="2232"/>
            <w:shd w:fill="FFFFFF"/>
          </w:tcPr>
          <w:p>
            <w:pPr>
              <w:spacing w:after="100" w:before="80"/>
            </w:pPr>
            <w:r>
              <w:rPr>
                <w:sz w:val="18"/>
              </w:rPr>
              <w:t>Includes rounding cushion</w:t>
            </w:r>
          </w:p>
        </w:tc>
        <w:tc>
          <w:tcPr>
            <w:tcW w:type="dxa" w:w="2736"/>
            <w:shd w:fill="FFFFFF"/>
          </w:tcPr>
          <w:p>
            <w:pPr>
              <w:spacing w:after="100" w:before="80"/>
            </w:pPr>
            <w:r>
              <w:rPr>
                <w:sz w:val="18"/>
              </w:rPr>
              <w:t>4100.00</w:t>
            </w:r>
          </w:p>
        </w:tc>
      </w:tr>
      <w:tr>
        <w:trPr>
          <w:cantSplit/>
        </w:trPr>
        <w:tc>
          <w:tcPr>
            <w:tcW w:type="dxa" w:w="4680"/>
            <w:shd w:fill="F0F4F7"/>
          </w:tcPr>
          <w:p>
            <w:pPr>
              <w:spacing w:after="100" w:before="80"/>
            </w:pPr>
            <w:r>
              <w:rPr>
                <w:sz w:val="18"/>
              </w:rPr>
              <w:t>Practical annual budget</w:t>
            </w:r>
          </w:p>
        </w:tc>
        <w:tc>
          <w:tcPr>
            <w:tcW w:type="dxa" w:w="2232"/>
            <w:shd w:fill="F0F4F7"/>
          </w:tcPr>
          <w:p>
            <w:pPr>
              <w:spacing w:after="100" w:before="80"/>
            </w:pPr>
            <w:r>
              <w:rPr>
                <w:sz w:val="18"/>
              </w:rPr>
              <w:t>12 months at INR 4100</w:t>
            </w:r>
          </w:p>
        </w:tc>
        <w:tc>
          <w:tcPr>
            <w:tcW w:type="dxa" w:w="2736"/>
            <w:shd w:fill="F0F4F7"/>
          </w:tcPr>
          <w:p>
            <w:pPr>
              <w:spacing w:after="100" w:before="80"/>
            </w:pPr>
            <w:r>
              <w:rPr>
                <w:sz w:val="18"/>
              </w:rPr>
              <w:t>49200.00</w:t>
            </w:r>
          </w:p>
        </w:tc>
      </w:tr>
    </w:tbl>
    <w:p>
      <w:r>
        <w:t>Annual estimated technical cash spending before reserve is INR 45452.64. Adding INR 3000 annual reserve gives INR 48452.64; rounding to INR 49200 leaves a small extra cushion. The domain is normally paid upfront: a first full month may require INR 3662.72 cloud plus INR 1500 domain, before reserve. Monthly amortization is not the actual first-month cash payment.</w:t>
      </w:r>
    </w:p>
    <w:p>
      <w:pPr>
        <w:pStyle w:val="Heading2"/>
      </w:pPr>
      <w:r>
        <w:t>3.3 Comparable infrastructure scenarios</w:t>
      </w:r>
    </w:p>
    <w:tbl>
      <w:tblPr>
        <w:tblW w:type="auto" w:w="0"/>
        <w:tblLayout w:type="fixed"/>
        <w:tblLook w:firstColumn="1" w:firstRow="1" w:lastColumn="0" w:lastRow="0" w:noHBand="0" w:noVBand="1" w:val="04A0"/>
      </w:tblPr>
      <w:tblGrid>
        <w:gridCol w:w="2520"/>
        <w:gridCol w:w="2520"/>
        <w:gridCol w:w="2520"/>
        <w:gridCol w:w="2520"/>
      </w:tblGrid>
      <w:tr>
        <w:trPr>
          <w:tblHeader/>
          <w:cantSplit/>
        </w:trPr>
        <w:tc>
          <w:tcPr>
            <w:tcW w:type="dxa" w:w="3744"/>
            <w:shd w:fill="17334A"/>
          </w:tcPr>
          <w:p>
            <w:pPr>
              <w:spacing w:after="100" w:before="80"/>
            </w:pPr>
            <w:r>
              <w:rPr>
                <w:b/>
                <w:color w:val="FFFFFF"/>
                <w:sz w:val="18"/>
              </w:rPr>
              <w:t>Scenario</w:t>
            </w:r>
          </w:p>
        </w:tc>
        <w:tc>
          <w:tcPr>
            <w:tcW w:type="dxa" w:w="1296"/>
            <w:shd w:fill="17334A"/>
          </w:tcPr>
          <w:p>
            <w:pPr>
              <w:spacing w:after="100" w:before="80"/>
            </w:pPr>
            <w:r>
              <w:rPr>
                <w:b/>
                <w:color w:val="FFFFFF"/>
                <w:sz w:val="18"/>
              </w:rPr>
              <w:t>Cloud USD</w:t>
            </w:r>
          </w:p>
        </w:tc>
        <w:tc>
          <w:tcPr>
            <w:tcW w:type="dxa" w:w="2304"/>
            <w:shd w:fill="17334A"/>
          </w:tcPr>
          <w:p>
            <w:pPr>
              <w:spacing w:after="100" w:before="80"/>
            </w:pPr>
            <w:r>
              <w:rPr>
                <w:b/>
                <w:color w:val="FFFFFF"/>
                <w:sz w:val="18"/>
              </w:rPr>
              <w:t>INR month with reserve</w:t>
            </w:r>
          </w:p>
        </w:tc>
        <w:tc>
          <w:tcPr>
            <w:tcW w:type="dxa" w:w="2304"/>
            <w:shd w:fill="17334A"/>
          </w:tcPr>
          <w:p>
            <w:pPr>
              <w:spacing w:after="100" w:before="80"/>
            </w:pPr>
            <w:r>
              <w:rPr>
                <w:b/>
                <w:color w:val="FFFFFF"/>
                <w:sz w:val="18"/>
              </w:rPr>
              <w:t>INR year with reserve</w:t>
            </w:r>
          </w:p>
        </w:tc>
      </w:tr>
      <w:tr>
        <w:trPr>
          <w:cantSplit/>
        </w:trPr>
        <w:tc>
          <w:tcPr>
            <w:tcW w:type="dxa" w:w="3744"/>
            <w:shd w:fill="F0F4F7"/>
          </w:tcPr>
          <w:p>
            <w:pPr>
              <w:spacing w:after="100" w:before="80"/>
            </w:pPr>
            <w:r>
              <w:rPr>
                <w:sz w:val="18"/>
              </w:rPr>
              <w:t>Recommended 4-GiB app + 1-GiB relay + S3</w:t>
            </w:r>
          </w:p>
        </w:tc>
        <w:tc>
          <w:tcPr>
            <w:tcW w:type="dxa" w:w="1296"/>
            <w:shd w:fill="F0F4F7"/>
          </w:tcPr>
          <w:p>
            <w:pPr>
              <w:spacing w:after="100" w:before="80"/>
            </w:pPr>
            <w:r>
              <w:rPr>
                <w:sz w:val="18"/>
              </w:rPr>
              <w:t>32</w:t>
            </w:r>
          </w:p>
        </w:tc>
        <w:tc>
          <w:tcPr>
            <w:tcW w:type="dxa" w:w="2304"/>
            <w:shd w:fill="F0F4F7"/>
          </w:tcPr>
          <w:p>
            <w:pPr>
              <w:spacing w:after="100" w:before="80"/>
            </w:pPr>
            <w:r>
              <w:rPr>
                <w:sz w:val="18"/>
              </w:rPr>
              <w:t>4037.72</w:t>
            </w:r>
          </w:p>
        </w:tc>
        <w:tc>
          <w:tcPr>
            <w:tcW w:type="dxa" w:w="2304"/>
            <w:shd w:fill="F0F4F7"/>
          </w:tcPr>
          <w:p>
            <w:pPr>
              <w:spacing w:after="100" w:before="80"/>
            </w:pPr>
            <w:r>
              <w:rPr>
                <w:sz w:val="18"/>
              </w:rPr>
              <w:t>48452.64</w:t>
            </w:r>
          </w:p>
        </w:tc>
      </w:tr>
      <w:tr>
        <w:trPr>
          <w:cantSplit/>
        </w:trPr>
        <w:tc>
          <w:tcPr>
            <w:tcW w:type="dxa" w:w="3744"/>
            <w:shd w:fill="FFFFFF"/>
          </w:tcPr>
          <w:p>
            <w:pPr>
              <w:spacing w:after="100" w:before="80"/>
            </w:pPr>
            <w:r>
              <w:rPr>
                <w:sz w:val="18"/>
              </w:rPr>
              <w:t>Same hosts with DO Spaces</w:t>
            </w:r>
          </w:p>
        </w:tc>
        <w:tc>
          <w:tcPr>
            <w:tcW w:type="dxa" w:w="1296"/>
            <w:shd w:fill="FFFFFF"/>
          </w:tcPr>
          <w:p>
            <w:pPr>
              <w:spacing w:after="100" w:before="80"/>
            </w:pPr>
            <w:r>
              <w:rPr>
                <w:sz w:val="18"/>
              </w:rPr>
              <w:t>35</w:t>
            </w:r>
          </w:p>
        </w:tc>
        <w:tc>
          <w:tcPr>
            <w:tcW w:type="dxa" w:w="2304"/>
            <w:shd w:fill="FFFFFF"/>
          </w:tcPr>
          <w:p>
            <w:pPr>
              <w:spacing w:after="100" w:before="80"/>
            </w:pPr>
            <w:r>
              <w:rPr>
                <w:sz w:val="18"/>
              </w:rPr>
              <w:t>4381.10</w:t>
            </w:r>
          </w:p>
        </w:tc>
        <w:tc>
          <w:tcPr>
            <w:tcW w:type="dxa" w:w="2304"/>
            <w:shd w:fill="FFFFFF"/>
          </w:tcPr>
          <w:p>
            <w:pPr>
              <w:spacing w:after="100" w:before="80"/>
            </w:pPr>
            <w:r>
              <w:rPr>
                <w:sz w:val="18"/>
              </w:rPr>
              <w:t>52573.20</w:t>
            </w:r>
          </w:p>
        </w:tc>
      </w:tr>
      <w:tr>
        <w:trPr>
          <w:cantSplit/>
        </w:trPr>
        <w:tc>
          <w:tcPr>
            <w:tcW w:type="dxa" w:w="3744"/>
            <w:shd w:fill="F0F4F7"/>
          </w:tcPr>
          <w:p>
            <w:pPr>
              <w:spacing w:after="100" w:before="80"/>
            </w:pPr>
            <w:r>
              <w:rPr>
                <w:sz w:val="18"/>
              </w:rPr>
              <w:t>4-GiB app + 2-GiB relay + S3</w:t>
            </w:r>
          </w:p>
        </w:tc>
        <w:tc>
          <w:tcPr>
            <w:tcW w:type="dxa" w:w="1296"/>
            <w:shd w:fill="F0F4F7"/>
          </w:tcPr>
          <w:p>
            <w:pPr>
              <w:spacing w:after="100" w:before="80"/>
            </w:pPr>
            <w:r>
              <w:rPr>
                <w:sz w:val="18"/>
              </w:rPr>
              <w:t>38</w:t>
            </w:r>
          </w:p>
        </w:tc>
        <w:tc>
          <w:tcPr>
            <w:tcW w:type="dxa" w:w="2304"/>
            <w:shd w:fill="F0F4F7"/>
          </w:tcPr>
          <w:p>
            <w:pPr>
              <w:spacing w:after="100" w:before="80"/>
            </w:pPr>
            <w:r>
              <w:rPr>
                <w:sz w:val="18"/>
              </w:rPr>
              <w:t>4724.48</w:t>
            </w:r>
          </w:p>
        </w:tc>
        <w:tc>
          <w:tcPr>
            <w:tcW w:type="dxa" w:w="2304"/>
            <w:shd w:fill="F0F4F7"/>
          </w:tcPr>
          <w:p>
            <w:pPr>
              <w:spacing w:after="100" w:before="80"/>
            </w:pPr>
            <w:r>
              <w:rPr>
                <w:sz w:val="18"/>
              </w:rPr>
              <w:t>56693.76</w:t>
            </w:r>
          </w:p>
        </w:tc>
      </w:tr>
      <w:tr>
        <w:trPr>
          <w:cantSplit/>
        </w:trPr>
        <w:tc>
          <w:tcPr>
            <w:tcW w:type="dxa" w:w="3744"/>
            <w:shd w:fill="FFFFFF"/>
          </w:tcPr>
          <w:p>
            <w:pPr>
              <w:spacing w:after="100" w:before="80"/>
            </w:pPr>
            <w:r>
              <w:rPr>
                <w:sz w:val="18"/>
              </w:rPr>
              <w:t>8-GiB / 4-vCPU app + 1-GiB relay + S3</w:t>
            </w:r>
          </w:p>
        </w:tc>
        <w:tc>
          <w:tcPr>
            <w:tcW w:type="dxa" w:w="1296"/>
            <w:shd w:fill="FFFFFF"/>
          </w:tcPr>
          <w:p>
            <w:pPr>
              <w:spacing w:after="100" w:before="80"/>
            </w:pPr>
            <w:r>
              <w:rPr>
                <w:sz w:val="18"/>
              </w:rPr>
              <w:t>56</w:t>
            </w:r>
          </w:p>
        </w:tc>
        <w:tc>
          <w:tcPr>
            <w:tcW w:type="dxa" w:w="2304"/>
            <w:shd w:fill="FFFFFF"/>
          </w:tcPr>
          <w:p>
            <w:pPr>
              <w:spacing w:after="100" w:before="80"/>
            </w:pPr>
            <w:r>
              <w:rPr>
                <w:sz w:val="18"/>
              </w:rPr>
              <w:t>6784.76</w:t>
            </w:r>
          </w:p>
        </w:tc>
        <w:tc>
          <w:tcPr>
            <w:tcW w:type="dxa" w:w="2304"/>
            <w:shd w:fill="FFFFFF"/>
          </w:tcPr>
          <w:p>
            <w:pPr>
              <w:spacing w:after="100" w:before="80"/>
            </w:pPr>
            <w:r>
              <w:rPr>
                <w:sz w:val="18"/>
              </w:rPr>
              <w:t>81417.12</w:t>
            </w:r>
          </w:p>
        </w:tc>
      </w:tr>
      <w:tr>
        <w:trPr>
          <w:cantSplit/>
        </w:trPr>
        <w:tc>
          <w:tcPr>
            <w:tcW w:type="dxa" w:w="3744"/>
            <w:shd w:fill="F0F4F7"/>
          </w:tcPr>
          <w:p>
            <w:pPr>
              <w:spacing w:after="100" w:before="80"/>
            </w:pPr>
            <w:r>
              <w:rPr>
                <w:sz w:val="18"/>
              </w:rPr>
              <w:t>8-GiB / 4-vCPU app + 2-GiB relay + S3</w:t>
            </w:r>
          </w:p>
        </w:tc>
        <w:tc>
          <w:tcPr>
            <w:tcW w:type="dxa" w:w="1296"/>
            <w:shd w:fill="F0F4F7"/>
          </w:tcPr>
          <w:p>
            <w:pPr>
              <w:spacing w:after="100" w:before="80"/>
            </w:pPr>
            <w:r>
              <w:rPr>
                <w:sz w:val="18"/>
              </w:rPr>
              <w:t>62</w:t>
            </w:r>
          </w:p>
        </w:tc>
        <w:tc>
          <w:tcPr>
            <w:tcW w:type="dxa" w:w="2304"/>
            <w:shd w:fill="F0F4F7"/>
          </w:tcPr>
          <w:p>
            <w:pPr>
              <w:spacing w:after="100" w:before="80"/>
            </w:pPr>
            <w:r>
              <w:rPr>
                <w:sz w:val="18"/>
              </w:rPr>
              <w:t>7471.52</w:t>
            </w:r>
          </w:p>
        </w:tc>
        <w:tc>
          <w:tcPr>
            <w:tcW w:type="dxa" w:w="2304"/>
            <w:shd w:fill="F0F4F7"/>
          </w:tcPr>
          <w:p>
            <w:pPr>
              <w:spacing w:after="100" w:before="80"/>
            </w:pPr>
            <w:r>
              <w:rPr>
                <w:sz w:val="18"/>
              </w:rPr>
              <w:t>89658.24</w:t>
            </w:r>
          </w:p>
        </w:tc>
      </w:tr>
    </w:tbl>
    <w:p>
      <w:r>
        <w:t>Every scenario uses INR 97/USD, 18 percent hosting tax, INR 125/month domain and INR 250/month reserve. The recommended USD 32 scenario includes a USD 24 application host, USD 6 relay and USD 2 S3 allowance. The same-provider alternative rounds to INR 4400/month or INR 52800/year. Upgrade scenarios are spending envelopes, not measured capacity guarantees. Actual storage and traffic may increase costs; none of these configurations buys high availability.</w:t>
      </w:r>
    </w:p>
    <w:p>
      <w:r>
        <w:t>Compared with the original USD 35 baseline on identical assumptions, the recommended USD 32 setup saves INR 343.38/month or INR 4120.56/year. That is about 8.6 percent of cloud cost, or 7.8 percent of calculated funding including domain and reserve. This saving comes from the lower storage allowance while retaining the original application and relay sizes. The earlier smaller-host proposal is superseded by the mandatory 200-connected / 25-call requirement.</w:t>
      </w:r>
    </w:p>
    <w:p>
      <w:r>
        <w:t>Currency sensitivity for the recommended USD 32 cloud plan: at assumed INR 90/USD, monthly funding including tax/domain/reserve is INR 3773.40; at INR 105/USD it is INR 4339.80. Card/FX markup is additional if not reflected in the settlement rate; draw from reserve or revise the model. Prices, taxes and traffic are not fixed for a year merely because annual figures multiply by twelve.</w:t>
      </w:r>
    </w:p>
    <w:p>
      <w:pPr>
        <w:pStyle w:val="Heading2"/>
      </w:pPr>
      <w:r>
        <w:t>3.4 Payments and revenue scenarios</w:t>
      </w:r>
    </w:p>
    <w:p>
      <w:r>
        <w:t>Assume ordinary domestic collections at Cashfree's standard 1.95 percent plus 18 percent GST on the fee: effective deduction 2.301 percent. Razorpay's comparison is 2.36 percent. Method-specific rates, business terms and optional products can differ. Avoid paid instant settlements/refunds and subscription products. Promotions are upside only. [S15, S21]</w:t>
      </w:r>
    </w:p>
    <w:tbl>
      <w:tblPr>
        <w:tblW w:type="auto" w:w="0"/>
        <w:tblLayout w:type="fixed"/>
        <w:tblLook w:firstColumn="1" w:firstRow="1" w:lastColumn="0" w:lastRow="0" w:noHBand="0" w:noVBand="1" w:val="04A0"/>
      </w:tblPr>
      <w:tblGrid>
        <w:gridCol w:w="2520"/>
        <w:gridCol w:w="2520"/>
        <w:gridCol w:w="2520"/>
        <w:gridCol w:w="2520"/>
      </w:tblGrid>
      <w:tr>
        <w:trPr>
          <w:tblHeader/>
          <w:cantSplit/>
        </w:trPr>
        <w:tc>
          <w:tcPr>
            <w:tcW w:type="dxa" w:w="3024"/>
            <w:shd w:fill="17334A"/>
          </w:tcPr>
          <w:p>
            <w:pPr>
              <w:spacing w:after="100" w:before="80"/>
            </w:pPr>
            <w:r>
              <w:rPr>
                <w:b/>
                <w:color w:val="FFFFFF"/>
                <w:sz w:val="18"/>
              </w:rPr>
              <w:t>Monthly customer collections</w:t>
            </w:r>
          </w:p>
        </w:tc>
        <w:tc>
          <w:tcPr>
            <w:tcW w:type="dxa" w:w="2160"/>
            <w:shd w:fill="17334A"/>
          </w:tcPr>
          <w:p>
            <w:pPr>
              <w:spacing w:after="100" w:before="80"/>
            </w:pPr>
            <w:r>
              <w:rPr>
                <w:b/>
                <w:color w:val="FFFFFF"/>
                <w:sz w:val="18"/>
              </w:rPr>
              <w:t>Cashfree fee estimate</w:t>
            </w:r>
          </w:p>
        </w:tc>
        <w:tc>
          <w:tcPr>
            <w:tcW w:type="dxa" w:w="2304"/>
            <w:shd w:fill="17334A"/>
          </w:tcPr>
          <w:p>
            <w:pPr>
              <w:spacing w:after="100" w:before="80"/>
            </w:pPr>
            <w:r>
              <w:rPr>
                <w:b/>
                <w:color w:val="FFFFFF"/>
                <w:sz w:val="18"/>
              </w:rPr>
              <w:t>Baseline budget plus fees</w:t>
            </w:r>
          </w:p>
        </w:tc>
        <w:tc>
          <w:tcPr>
            <w:tcW w:type="dxa" w:w="2160"/>
            <w:shd w:fill="17334A"/>
          </w:tcPr>
          <w:p>
            <w:pPr>
              <w:spacing w:after="100" w:before="80"/>
            </w:pPr>
            <w:r>
              <w:rPr>
                <w:b/>
                <w:color w:val="FFFFFF"/>
                <w:sz w:val="18"/>
              </w:rPr>
              <w:t>Annual at same run rate</w:t>
            </w:r>
          </w:p>
        </w:tc>
      </w:tr>
      <w:tr>
        <w:trPr>
          <w:cantSplit/>
        </w:trPr>
        <w:tc>
          <w:tcPr>
            <w:tcW w:type="dxa" w:w="3024"/>
            <w:shd w:fill="F0F4F7"/>
          </w:tcPr>
          <w:p>
            <w:pPr>
              <w:spacing w:after="100" w:before="80"/>
            </w:pPr>
            <w:r>
              <w:rPr>
                <w:sz w:val="18"/>
              </w:rPr>
              <w:t>INR 0</w:t>
            </w:r>
          </w:p>
        </w:tc>
        <w:tc>
          <w:tcPr>
            <w:tcW w:type="dxa" w:w="2160"/>
            <w:shd w:fill="F0F4F7"/>
          </w:tcPr>
          <w:p>
            <w:pPr>
              <w:spacing w:after="100" w:before="80"/>
            </w:pPr>
            <w:r>
              <w:rPr>
                <w:sz w:val="18"/>
              </w:rPr>
              <w:t>INR 0</w:t>
            </w:r>
          </w:p>
        </w:tc>
        <w:tc>
          <w:tcPr>
            <w:tcW w:type="dxa" w:w="2304"/>
            <w:shd w:fill="F0F4F7"/>
          </w:tcPr>
          <w:p>
            <w:pPr>
              <w:spacing w:after="100" w:before="80"/>
            </w:pPr>
            <w:r>
              <w:rPr>
                <w:sz w:val="18"/>
              </w:rPr>
              <w:t>INR 4100.00</w:t>
            </w:r>
          </w:p>
        </w:tc>
        <w:tc>
          <w:tcPr>
            <w:tcW w:type="dxa" w:w="2160"/>
            <w:shd w:fill="F0F4F7"/>
          </w:tcPr>
          <w:p>
            <w:pPr>
              <w:spacing w:after="100" w:before="80"/>
            </w:pPr>
            <w:r>
              <w:rPr>
                <w:sz w:val="18"/>
              </w:rPr>
              <w:t>INR 49200.00</w:t>
            </w:r>
          </w:p>
        </w:tc>
      </w:tr>
      <w:tr>
        <w:trPr>
          <w:cantSplit/>
        </w:trPr>
        <w:tc>
          <w:tcPr>
            <w:tcW w:type="dxa" w:w="3024"/>
            <w:shd w:fill="FFFFFF"/>
          </w:tcPr>
          <w:p>
            <w:pPr>
              <w:spacing w:after="100" w:before="80"/>
            </w:pPr>
            <w:r>
              <w:rPr>
                <w:sz w:val="18"/>
              </w:rPr>
              <w:t>INR 10000</w:t>
            </w:r>
          </w:p>
        </w:tc>
        <w:tc>
          <w:tcPr>
            <w:tcW w:type="dxa" w:w="2160"/>
            <w:shd w:fill="FFFFFF"/>
          </w:tcPr>
          <w:p>
            <w:pPr>
              <w:spacing w:after="100" w:before="80"/>
            </w:pPr>
            <w:r>
              <w:rPr>
                <w:sz w:val="18"/>
              </w:rPr>
              <w:t>INR 230.10</w:t>
            </w:r>
          </w:p>
        </w:tc>
        <w:tc>
          <w:tcPr>
            <w:tcW w:type="dxa" w:w="2304"/>
            <w:shd w:fill="FFFFFF"/>
          </w:tcPr>
          <w:p>
            <w:pPr>
              <w:spacing w:after="100" w:before="80"/>
            </w:pPr>
            <w:r>
              <w:rPr>
                <w:sz w:val="18"/>
              </w:rPr>
              <w:t>INR 4330.10</w:t>
            </w:r>
          </w:p>
        </w:tc>
        <w:tc>
          <w:tcPr>
            <w:tcW w:type="dxa" w:w="2160"/>
            <w:shd w:fill="FFFFFF"/>
          </w:tcPr>
          <w:p>
            <w:pPr>
              <w:spacing w:after="100" w:before="80"/>
            </w:pPr>
            <w:r>
              <w:rPr>
                <w:sz w:val="18"/>
              </w:rPr>
              <w:t>INR 51961.20</w:t>
            </w:r>
          </w:p>
        </w:tc>
      </w:tr>
      <w:tr>
        <w:trPr>
          <w:cantSplit/>
        </w:trPr>
        <w:tc>
          <w:tcPr>
            <w:tcW w:type="dxa" w:w="3024"/>
            <w:shd w:fill="F0F4F7"/>
          </w:tcPr>
          <w:p>
            <w:pPr>
              <w:spacing w:after="100" w:before="80"/>
            </w:pPr>
            <w:r>
              <w:rPr>
                <w:sz w:val="18"/>
              </w:rPr>
              <w:t>INR 50000</w:t>
            </w:r>
          </w:p>
        </w:tc>
        <w:tc>
          <w:tcPr>
            <w:tcW w:type="dxa" w:w="2160"/>
            <w:shd w:fill="F0F4F7"/>
          </w:tcPr>
          <w:p>
            <w:pPr>
              <w:spacing w:after="100" w:before="80"/>
            </w:pPr>
            <w:r>
              <w:rPr>
                <w:sz w:val="18"/>
              </w:rPr>
              <w:t>INR 1150.50</w:t>
            </w:r>
          </w:p>
        </w:tc>
        <w:tc>
          <w:tcPr>
            <w:tcW w:type="dxa" w:w="2304"/>
            <w:shd w:fill="F0F4F7"/>
          </w:tcPr>
          <w:p>
            <w:pPr>
              <w:spacing w:after="100" w:before="80"/>
            </w:pPr>
            <w:r>
              <w:rPr>
                <w:sz w:val="18"/>
              </w:rPr>
              <w:t>INR 5250.50</w:t>
            </w:r>
          </w:p>
        </w:tc>
        <w:tc>
          <w:tcPr>
            <w:tcW w:type="dxa" w:w="2160"/>
            <w:shd w:fill="F0F4F7"/>
          </w:tcPr>
          <w:p>
            <w:pPr>
              <w:spacing w:after="100" w:before="80"/>
            </w:pPr>
            <w:r>
              <w:rPr>
                <w:sz w:val="18"/>
              </w:rPr>
              <w:t>INR 63006.00</w:t>
            </w:r>
          </w:p>
        </w:tc>
      </w:tr>
      <w:tr>
        <w:trPr>
          <w:cantSplit/>
        </w:trPr>
        <w:tc>
          <w:tcPr>
            <w:tcW w:type="dxa" w:w="3024"/>
            <w:shd w:fill="FFFFFF"/>
          </w:tcPr>
          <w:p>
            <w:pPr>
              <w:spacing w:after="100" w:before="80"/>
            </w:pPr>
            <w:r>
              <w:rPr>
                <w:sz w:val="18"/>
              </w:rPr>
              <w:t>INR 100000</w:t>
            </w:r>
          </w:p>
        </w:tc>
        <w:tc>
          <w:tcPr>
            <w:tcW w:type="dxa" w:w="2160"/>
            <w:shd w:fill="FFFFFF"/>
          </w:tcPr>
          <w:p>
            <w:pPr>
              <w:spacing w:after="100" w:before="80"/>
            </w:pPr>
            <w:r>
              <w:rPr>
                <w:sz w:val="18"/>
              </w:rPr>
              <w:t>INR 2301.00</w:t>
            </w:r>
          </w:p>
        </w:tc>
        <w:tc>
          <w:tcPr>
            <w:tcW w:type="dxa" w:w="2304"/>
            <w:shd w:fill="FFFFFF"/>
          </w:tcPr>
          <w:p>
            <w:pPr>
              <w:spacing w:after="100" w:before="80"/>
            </w:pPr>
            <w:r>
              <w:rPr>
                <w:sz w:val="18"/>
              </w:rPr>
              <w:t>INR 6401.00</w:t>
            </w:r>
          </w:p>
        </w:tc>
        <w:tc>
          <w:tcPr>
            <w:tcW w:type="dxa" w:w="2160"/>
            <w:shd w:fill="FFFFFF"/>
          </w:tcPr>
          <w:p>
            <w:pPr>
              <w:spacing w:after="100" w:before="80"/>
            </w:pPr>
            <w:r>
              <w:rPr>
                <w:sz w:val="18"/>
              </w:rPr>
              <w:t>INR 76812.00</w:t>
            </w:r>
          </w:p>
        </w:tc>
      </w:tr>
    </w:tbl>
    <w:p>
      <w:r>
        <w:t>These annual examples hold collections and infrastructure constant for twelve months; they are not forecasts. Gateway fees reduce settlement, while any GST on NoTitle's own sales is a separate liability. An accountant must establish registration, service classification, invoicing and input credits. Do not infer exemption from low revenue. The INR 4100 amount contains a reserve rather than only realized expense.</w:t>
      </w:r>
    </w:p>
    <w:p>
      <w:r>
        <w:t>Keep the finalized catalog: INR 99 for 72 hours, INR 199 for 168 hours, INR 499 for 720 hours and INR 1499 for 8760 hours. At the illustrative gateway rate, fees are about INR 2.28, INR 4.58, INR 11.48 and INR 34.49 respectively, subject to rounding. An annual purchase is upfront cash covering a year, not monthly recurring revenue.</w:t>
      </w:r>
    </w:p>
    <w:p>
      <w:r>
        <w:t>For a tax-inclusive INR 199 purchase, if 18 percent output GST applies, illustrative contribution before variable support/voice/refunds is 199/1.18 - 199*0.02301 = INR 164.07. Covering INR 4100 of technical funding needs 25 such purchases per month; without output-tax deduction in the scenario it needs 22. This is technical break-even only. For the INR 1499 annual plan under that tax scenario, contribution is about INR 1235.85/year, or INR 102.99 per covered month. Approximately 40 annual-plan equivalents continuously covering a month would fund INR 4100, before usage and labor; conversion and retention are not guaranteed.</w:t>
      </w:r>
    </w:p>
    <w:p>
      <w:pPr>
        <w:pStyle w:val="Heading2"/>
      </w:pPr>
      <w:r>
        <w:t>3.5 Voice storage and hidden-cost controls</w:t>
      </w:r>
    </w:p>
    <w:p>
      <w:r>
        <w:t>For planning only, allow 0.6 to 1.5 MB of relay outbound per two-person call-minute, approximately 80 to 200 kbit/s for the call. Measure real billed interface bytes because ICE paths, packet overhead, TCP retries and relay hops vary. Incoming traffic is a separate quantity even when free. Never multiply call-minutes by two again merely because a call has two people; this allowance already represents a two-person call.</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888"/>
            <w:shd w:fill="17334A"/>
          </w:tcPr>
          <w:p>
            <w:pPr>
              <w:spacing w:after="100" w:before="80"/>
            </w:pPr>
            <w:r>
              <w:rPr>
                <w:b/>
                <w:color w:val="FFFFFF"/>
                <w:sz w:val="18"/>
              </w:rPr>
              <w:t>Usage scenario</w:t>
            </w:r>
          </w:p>
        </w:tc>
        <w:tc>
          <w:tcPr>
            <w:tcW w:type="dxa" w:w="2376"/>
            <w:shd w:fill="17334A"/>
          </w:tcPr>
          <w:p>
            <w:pPr>
              <w:spacing w:after="100" w:before="80"/>
            </w:pPr>
            <w:r>
              <w:rPr>
                <w:b/>
                <w:color w:val="FFFFFF"/>
                <w:sz w:val="18"/>
              </w:rPr>
              <w:t>Monthly call-minutes</w:t>
            </w:r>
          </w:p>
        </w:tc>
        <w:tc>
          <w:tcPr>
            <w:tcW w:type="dxa" w:w="3384"/>
            <w:shd w:fill="17334A"/>
          </w:tcPr>
          <w:p>
            <w:pPr>
              <w:spacing w:after="100" w:before="80"/>
            </w:pPr>
            <w:r>
              <w:rPr>
                <w:b/>
                <w:color w:val="FFFFFF"/>
                <w:sz w:val="18"/>
              </w:rPr>
              <w:t>Illustrative outbound</w:t>
            </w:r>
          </w:p>
        </w:tc>
      </w:tr>
      <w:tr>
        <w:trPr>
          <w:cantSplit/>
        </w:trPr>
        <w:tc>
          <w:tcPr>
            <w:tcW w:type="dxa" w:w="3888"/>
            <w:shd w:fill="F0F4F7"/>
          </w:tcPr>
          <w:p>
            <w:pPr>
              <w:spacing w:after="100" w:before="80"/>
            </w:pPr>
            <w:r>
              <w:rPr>
                <w:sz w:val="18"/>
              </w:rPr>
              <w:t>Tiny supervised cohort</w:t>
            </w:r>
          </w:p>
        </w:tc>
        <w:tc>
          <w:tcPr>
            <w:tcW w:type="dxa" w:w="2376"/>
            <w:shd w:fill="F0F4F7"/>
          </w:tcPr>
          <w:p>
            <w:pPr>
              <w:spacing w:after="100" w:before="80"/>
            </w:pPr>
            <w:r>
              <w:rPr>
                <w:sz w:val="18"/>
              </w:rPr>
              <w:t>10000</w:t>
            </w:r>
          </w:p>
        </w:tc>
        <w:tc>
          <w:tcPr>
            <w:tcW w:type="dxa" w:w="3384"/>
            <w:shd w:fill="F0F4F7"/>
          </w:tcPr>
          <w:p>
            <w:pPr>
              <w:spacing w:after="100" w:before="80"/>
            </w:pPr>
            <w:r>
              <w:rPr>
                <w:sz w:val="18"/>
              </w:rPr>
              <w:t>6 to 15 GB</w:t>
            </w:r>
          </w:p>
        </w:tc>
      </w:tr>
      <w:tr>
        <w:trPr>
          <w:cantSplit/>
        </w:trPr>
        <w:tc>
          <w:tcPr>
            <w:tcW w:type="dxa" w:w="3888"/>
            <w:shd w:fill="FFFFFF"/>
          </w:tcPr>
          <w:p>
            <w:pPr>
              <w:spacing w:after="100" w:before="80"/>
            </w:pPr>
            <w:r>
              <w:rPr>
                <w:sz w:val="18"/>
              </w:rPr>
              <w:t>Active MVP</w:t>
            </w:r>
          </w:p>
        </w:tc>
        <w:tc>
          <w:tcPr>
            <w:tcW w:type="dxa" w:w="2376"/>
            <w:shd w:fill="FFFFFF"/>
          </w:tcPr>
          <w:p>
            <w:pPr>
              <w:spacing w:after="100" w:before="80"/>
            </w:pPr>
            <w:r>
              <w:rPr>
                <w:sz w:val="18"/>
              </w:rPr>
              <w:t>100000</w:t>
            </w:r>
          </w:p>
        </w:tc>
        <w:tc>
          <w:tcPr>
            <w:tcW w:type="dxa" w:w="3384"/>
            <w:shd w:fill="FFFFFF"/>
          </w:tcPr>
          <w:p>
            <w:pPr>
              <w:spacing w:after="100" w:before="80"/>
            </w:pPr>
            <w:r>
              <w:rPr>
                <w:sz w:val="18"/>
              </w:rPr>
              <w:t>60 to 150 GB</w:t>
            </w:r>
          </w:p>
        </w:tc>
      </w:tr>
      <w:tr>
        <w:trPr>
          <w:cantSplit/>
        </w:trPr>
        <w:tc>
          <w:tcPr>
            <w:tcW w:type="dxa" w:w="3888"/>
            <w:shd w:fill="F0F4F7"/>
          </w:tcPr>
          <w:p>
            <w:pPr>
              <w:spacing w:after="100" w:before="80"/>
            </w:pPr>
            <w:r>
              <w:rPr>
                <w:sz w:val="18"/>
              </w:rPr>
              <w:t>25 calls averaging 12 hours each day</w:t>
            </w:r>
          </w:p>
        </w:tc>
        <w:tc>
          <w:tcPr>
            <w:tcW w:type="dxa" w:w="2376"/>
            <w:shd w:fill="F0F4F7"/>
          </w:tcPr>
          <w:p>
            <w:pPr>
              <w:spacing w:after="100" w:before="80"/>
            </w:pPr>
            <w:r>
              <w:rPr>
                <w:sz w:val="18"/>
              </w:rPr>
              <w:t>540000</w:t>
            </w:r>
          </w:p>
        </w:tc>
        <w:tc>
          <w:tcPr>
            <w:tcW w:type="dxa" w:w="3384"/>
            <w:shd w:fill="F0F4F7"/>
          </w:tcPr>
          <w:p>
            <w:pPr>
              <w:spacing w:after="100" w:before="80"/>
            </w:pPr>
            <w:r>
              <w:rPr>
                <w:sz w:val="18"/>
              </w:rPr>
              <w:t>324 to 810 GB</w:t>
            </w:r>
          </w:p>
        </w:tc>
      </w:tr>
      <w:tr>
        <w:trPr>
          <w:cantSplit/>
        </w:trPr>
        <w:tc>
          <w:tcPr>
            <w:tcW w:type="dxa" w:w="3888"/>
            <w:shd w:fill="FFFFFF"/>
          </w:tcPr>
          <w:p>
            <w:pPr>
              <w:spacing w:after="100" w:before="80"/>
            </w:pPr>
            <w:r>
              <w:rPr>
                <w:sz w:val="18"/>
              </w:rPr>
              <w:t>Heavy use sensitivity</w:t>
            </w:r>
          </w:p>
        </w:tc>
        <w:tc>
          <w:tcPr>
            <w:tcW w:type="dxa" w:w="2376"/>
            <w:shd w:fill="FFFFFF"/>
          </w:tcPr>
          <w:p>
            <w:pPr>
              <w:spacing w:after="100" w:before="80"/>
            </w:pPr>
            <w:r>
              <w:rPr>
                <w:sz w:val="18"/>
              </w:rPr>
              <w:t>1000000</w:t>
            </w:r>
          </w:p>
        </w:tc>
        <w:tc>
          <w:tcPr>
            <w:tcW w:type="dxa" w:w="3384"/>
            <w:shd w:fill="FFFFFF"/>
          </w:tcPr>
          <w:p>
            <w:pPr>
              <w:spacing w:after="100" w:before="80"/>
            </w:pPr>
            <w:r>
              <w:rPr>
                <w:sz w:val="18"/>
              </w:rPr>
              <w:t>600 to 1500 GB</w:t>
            </w:r>
          </w:p>
        </w:tc>
      </w:tr>
    </w:tbl>
    <w:p>
      <w:r>
        <w:t>A capacity of 25 simultaneous calls does not mean all 25 run continuously; the table models different usage durations. App and relay traffic share the eligible DO team outbound pool, including qualifying outbound backup transfers. Do not count the pool twice. Check proration, GiB versus decimal GB and measured retransmission overhead. Lightsail Mumbai counts inbound plus outbound, potentially roughly twice the outbound amount for relay traffic. Alert on forecast monthly transfer at 50, 75 and 90 percent; investigate unexpected relay usage immediately.</w:t>
      </w:r>
    </w:p>
    <w:p>
      <w:r>
        <w:t>Omit whole-VM daily backups only while database-aware encrypted off-host backups, continuous WAL, configuration recovery and restore tests work. Keep S3 objects private, encrypt before upload, restrict credentials to required prefixes, protect recovery keys separately and enforce lifecycle expiry for current/noncurrent versions and incomplete uploads. Avoid per-object KMS/API products unless their benefit and fees are understood. Never delete legally required records to prevent an overage; revise the storage budget.</w:t>
      </w:r>
    </w:p>
    <w:p>
      <w:pPr>
        <w:pStyle w:val="Heading2"/>
      </w:pPr>
      <w:r>
        <w:t>3.6 Development and real business costs</w:t>
      </w:r>
    </w:p>
    <w:p>
      <w:r>
        <w:t>The technical budget excludes hired engineering, moderation/on-call work, customer support labor, legal/accounting, business filings, marketing, refund principal, chargebacks, paid developer tools and any sales tax due. Founder-operated does not mean labor-free. Formula: total business cash outflow = infrastructure + gateway/other usage fees + paid labor/tools + professional/compliance costs + acquisition + refund/chargeback cash + taxes, less valid credits or recoveries where applicable.</w:t>
      </w:r>
    </w:p>
    <w:p>
      <w:r>
        <w:t>For scheduling only, allow approximately 450 to 800 engineering hours for this complete V1, including security, money, audio enforcement, testing and deployment. This is a scope-based planning range, not a quotation or measured estimate; revise after the foundation spike. At 35 productive hours/week it represents roughly 13 to 23 weeks; at 20 hours/week roughly 23 to 40 weeks. Go/browser/WebRTC learning and provider/legal delays may extend it. Reuse maintained components and avoid custom auth cryptography or payment screens.</w:t>
      </w:r>
    </w:p>
    <w:p>
      <w:r>
        <w:t>If the founder builds it, hired-development cash can be zero, but those hours still have an opportunity cost. At an illustrative INR 1000/hour contractor rate, the same range would be INR 4.5 to 8 lakh before applicable tax; obtain an actual scope quote. Obtain legal/accounting and operational coverage quotes separately before calling any figure an all-in launch budget. Maintain a refund/liquidity reserve based on outstanding obligations, especially annual purchases; it is separate from the INR 250 infrastructure contingency.</w:t>
      </w:r>
    </w:p>
    <w:p>
      <w:pPr>
        <w:pStyle w:val="Heading1"/>
      </w:pPr>
      <w:r>
        <w:t>4 Decisions and requirements audit</w:t>
      </w:r>
    </w:p>
    <w:p>
      <w:pPr>
        <w:pStyle w:val="Heading2"/>
      </w:pPr>
      <w:r>
        <w:t>4.1 Canonical product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Area</w:t>
            </w:r>
          </w:p>
        </w:tc>
        <w:tc>
          <w:tcPr>
            <w:tcW w:type="dxa" w:w="77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V1 decision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Audience and positioning</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Adults 18+ discussing workplace culture, office politics, careers, managers, salaries, hiring and industry experiences. Professional status is self-declared.</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Market</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India-first service, English interface, INR checkout and India-region core hosting. This is not a claim that every visitor is physically in India. No location matching.</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Identity</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Guests can start without registering. Accounts use private username, password, recovery code and a public pseudonym. No mandatory phone, email, employer, DOB or identity document for normal registration.</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Matchmaking</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One global population for Guest, Free and Premium. Free can match Premium and vice versa.</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Gender</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Required for Guest, Free and Premium: Male, Female or Other / Non-binary. No skip or undisclosed option. Premium preference: Everyone, Male, Female or Other / Non-binary; both participants' preferences must be satisfied.</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Professional preferences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Optional Premium choices with an explicit No preference option. A very small tie-break between otherwise comparable candidates; never an eligibility filter, delay or override of gender. Multiple choices within a category mean OR.</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Recent pairs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Four-second immediate pair cooldown; then a rapidly decaying scoring penalty. No 30–60-minute exclusion.</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Communication</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Plain text and emoji, plus mutually accepted WebRTC audio. No video, attachments, recordings, transcripts, public posts or offline inbox.</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Connections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Every tier, including guests, can add friends through mutual consent. Links involving a guest last for that guest identity; links between two accounts are durable. Recontact requires a fresh online invitation.</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Premium</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Fixed-duration one-time purchases. No subscription mandate or automatic renewal.</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Operations</w:t>
            </w:r>
          </w:p>
        </w:tc>
        <w:tc>
          <w:tcPr>
            <w:tcW w:type="dxa" w:w="7776"/>
            <w:vAlign w:val="center"/>
            <w:tcMar>
              <w:top w:w="90" w:type="dxa"/>
              <w:left w:w="95" w:type="dxa"/>
              <w:bottom w:w="90" w:type="dxa"/>
              <w:right w:w="95" w:type="dxa"/>
            </w:tcMar>
          </w:tcPr>
          <w:p>
            <w:pPr>
              <w:keepNext w:val="0"/>
              <w:spacing w:after="0" w:line="245" w:lineRule="auto"/>
            </w:pPr>
            <w:r>
              <w:t>Report, Block, in-app support, formal grievances and a private operations interface. No live support chat.</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Infrastructure</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SvelteKit static build, Go, PostgreSQL and Caddy on a 2-vCPU/4-GiB app candidate; separate coturn host and encrypted backups. Required minimum: 200 connected users with 25 concurrent calls. No Redis, Kubernetes or managed chat service at launch.</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Responsive experience</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Mobile is the primary design target. One responsive website supports phone, tablet and desktop, preserving every feature and workflow. Real-device mobile validation and desktop parity are launch gates.</w:t>
            </w:r>
          </w:p>
        </w:tc>
      </w:tr>
    </w:tbl>
    <w:p>
      <w:pPr>
        <w:spacing w:after="40" w:before="0" w:line="60" w:lineRule="exact"/>
      </w:pPr>
    </w:p>
    <w:p>
      <w:pPr>
        <w:pStyle w:val="Heading2"/>
      </w:pPr>
      <w:r>
        <w:t>4.2 Conflicts resolved before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Gap in the earlier design</w:t>
            </w:r>
          </w:p>
        </w:tc>
        <w:tc>
          <w:tcPr>
            <w:tcW w:type="dxa" w:w="77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Resolution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Earlier binary gender options conflict with the expanded model</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Require one stable code: male, female or other. Everyone is a matching preference, not a gender declaration. Never infer a missing value.</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Optional gender contradicts required onboarding</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Require explicit gender selection for guests and accounts before interaction. Reject missing or invalid values server-side; existing incomplete identities must finish this step.</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Premium expiry resets a strict preference to Everyone</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Remove a waiting participant with a specific preference from the queue and ask them to renew or explicitly continue with Everyone. Preserve saved preferences.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Strong professional weights or staged searching make Premium matching harder</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Apply strict gender first, then choose promptly. Professional relevance contributes at most half a waiting-second in the score and quickly fades; No preference disables it. Never wait for a professional match.</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Account-only friendships exclude guests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Enable Guest–Guest, Guest–Account and Account–Account friendships. Keep guest links in memory; preserve consent through registration and persist once both endpoints are accounts.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Friend chat could overlap random chat or calls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Allow one active interaction per identity. Friends use an invitation and acceptance workflow with busy handling.</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Reporting races with Next and buffer deletion</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Report Begin freezes a bounded memory snapshot for up to two minutes. Submit persists the relevant subset; abandonment purges it. After an ordinary end, missing evidence is disclosed.</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Guest registration could reset friendships or safety state</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Preserve the participant slot, accepted friend links, blocks and recent-pair state while rotating credentials. Recheck safety before promoting eligible links to durable friendships.</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Expiring TURN credentials assumed to end media</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Add explicit allocation cancellation and an application lease watchdog on the relay host. Test malicious clients and process failure.</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A payment order and a payment attempt were conflated</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Store one purchase order with potentially several payment attempts. Grant duration once for a validated captured purchase.</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Refunds could incorrectly shorten later purchases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Use purchase-linked duration lots, FIFO time accounting and audited adjustments. Never subtract an entire original plan from a combined expiry.</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All chat in RAM presented as an unconditional legal conclusion</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Keep no user-visible history, but obtain a written assessment of current and forthcoming retention duties. Do not silently archive chats or promise legally unverified deletion.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Moderation arrives only near the end of development</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Deliver report triage with text chat. Build the complete operations interface later. No unmoderated public beta.</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Static SPA fallback could index private screens or turn unknown URLs into successful pages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Route only known app paths to the non-indexable fallback. Return a real 404 for unknown paths.</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Annual pricing and free audio economics were unspecified</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Build all four plans, model ongoing costs and require an explicit commercial decision before enabling the annual plan. Do not advertise unavailable plans.</w:t>
            </w:r>
          </w:p>
        </w:tc>
      </w:tr>
    </w:tbl>
    <w:p>
      <w:pPr>
        <w:spacing w:after="40" w:before="0" w:line="60" w:lineRule="exact"/>
      </w:pPr>
    </w:p>
    <w:p>
      <w:r>
        <w:t>The decisions above remove implementation ambiguity. External approvals are tracked in Section 18; they are not reasons to postpone local engineering. Existing Part 1 or Part 2 packages count as complete only after passing the gates in this document.</w:t>
      </w:r>
    </w:p>
    <w:p>
      <w:pPr>
        <w:pStyle w:val="Heading1"/>
      </w:pPr>
      <w:r>
        <w:t>5 Product design and screen behavior</w:t>
      </w:r>
    </w:p>
    <w:p>
      <w:pPr>
        <w:pStyle w:val="Heading2"/>
      </w:pPr>
      <w:r>
        <w:t>5.1 Features by tier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584"/>
        <w:gridCol w:w="2016"/>
        <w:gridCol w:w="2160"/>
      </w:tblGrid>
      <w:tr>
        <w:trPr>
          <w:cantSplit/>
          <w:tblHeader/>
        </w:trPr>
        <w:tc>
          <w:tcPr>
            <w:tcW w:type="dxa" w:w="4320"/>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Capability</w:t>
            </w:r>
          </w:p>
        </w:tc>
        <w:tc>
          <w:tcPr>
            <w:tcW w:type="dxa" w:w="1584"/>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Guest</w:t>
            </w:r>
          </w:p>
        </w:tc>
        <w:tc>
          <w:tcPr>
            <w:tcW w:type="dxa" w:w="2016"/>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Free account</w:t>
            </w:r>
          </w:p>
        </w:tc>
        <w:tc>
          <w:tcPr>
            <w:tcW w:type="dxa" w:w="2160"/>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Premium account</w:t>
            </w:r>
          </w:p>
        </w:tc>
      </w:tr>
      <w:tr>
        <w:trPr>
          <w:cantSplit/>
        </w:trPr>
        <w:tc>
          <w:tcPr>
            <w:tcW w:type="dxa" w:w="4320"/>
            <w:vAlign w:val="center"/>
            <w:tcMar>
              <w:top w:w="90" w:type="dxa"/>
              <w:left w:w="95" w:type="dxa"/>
              <w:bottom w:w="90" w:type="dxa"/>
              <w:right w:w="95" w:type="dxa"/>
            </w:tcMar>
          </w:tcPr>
          <w:p>
            <w:pPr>
              <w:keepNext w:val="0"/>
              <w:spacing w:after="0" w:line="245" w:lineRule="auto"/>
            </w:pPr>
            <w:r>
              <w:rPr>
                <w:rFonts w:ascii="Calibri" w:hAnsi="Calibri"/>
                <w:sz w:val="20"/>
              </w:rPr>
              <w:t>Random text and accepted audio</w:t>
            </w:r>
          </w:p>
        </w:tc>
        <w:tc>
          <w:tcPr>
            <w:tcW w:type="dxa" w:w="1584"/>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c>
          <w:tcPr>
            <w:tcW w:type="dxa" w:w="2016"/>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r>
      <w:tr>
        <w:trPr>
          <w:cantSplit/>
        </w:trPr>
        <w:tc>
          <w:tcPr>
            <w:tcW w:type="dxa" w:w="4320"/>
            <w:vAlign w:val="center"/>
            <w:tcMar>
              <w:top w:w="90" w:type="dxa"/>
              <w:left w:w="95" w:type="dxa"/>
              <w:bottom w:w="90" w:type="dxa"/>
              <w:right w:w="95" w:type="dxa"/>
            </w:tcMar>
            <w:shd w:fill="F2F5F7"/>
          </w:tcPr>
          <w:p>
            <w:pPr>
              <w:keepNext w:val="0"/>
              <w:spacing w:after="0" w:line="245" w:lineRule="auto"/>
            </w:pPr>
            <w:r>
              <w:rPr>
                <w:rFonts w:ascii="Calibri" w:hAnsi="Calibri"/>
                <w:sz w:val="20"/>
              </w:rPr>
              <w:t>Select current discussion topic</w:t>
            </w:r>
          </w:p>
        </w:tc>
        <w:tc>
          <w:tcPr>
            <w:tcW w:type="dxa" w:w="1584"/>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w:t>
            </w:r>
          </w:p>
        </w:tc>
        <w:tc>
          <w:tcPr>
            <w:tcW w:type="dxa" w:w="2016"/>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w:t>
            </w:r>
          </w:p>
        </w:tc>
        <w:tc>
          <w:tcPr>
            <w:tcW w:type="dxa" w:w="216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w:t>
            </w:r>
          </w:p>
        </w:tc>
      </w:tr>
      <w:tr>
        <w:trPr>
          <w:cantSplit/>
        </w:trPr>
        <w:tc>
          <w:tcPr>
            <w:tcW w:type="dxa" w:w="4320"/>
            <w:vAlign w:val="center"/>
            <w:tcMar>
              <w:top w:w="90" w:type="dxa"/>
              <w:left w:w="95" w:type="dxa"/>
              <w:bottom w:w="90" w:type="dxa"/>
              <w:right w:w="95" w:type="dxa"/>
            </w:tcMar>
          </w:tcPr>
          <w:p>
            <w:pPr>
              <w:keepNext w:val="0"/>
              <w:spacing w:after="0" w:line="245" w:lineRule="auto"/>
            </w:pPr>
            <w:r>
              <w:rPr>
                <w:rFonts w:ascii="Calibri" w:hAnsi="Calibri"/>
                <w:sz w:val="20"/>
              </w:rPr>
              <w:t>Required gender selection</w:t>
            </w:r>
          </w:p>
        </w:tc>
        <w:tc>
          <w:tcPr>
            <w:tcW w:type="dxa" w:w="1584"/>
            <w:vAlign w:val="center"/>
            <w:tcMar>
              <w:top w:w="90" w:type="dxa"/>
              <w:left w:w="95" w:type="dxa"/>
              <w:bottom w:w="90" w:type="dxa"/>
              <w:right w:w="95" w:type="dxa"/>
            </w:tcMar>
          </w:tcPr>
          <w:p>
            <w:pPr>
              <w:keepNext w:val="0"/>
              <w:spacing w:after="0" w:line="245" w:lineRule="auto"/>
              <w:jc w:val="center"/>
            </w:pPr>
            <w:r>
              <w:rPr>
                <w:rFonts w:ascii="Calibri" w:hAnsi="Calibri"/>
                <w:sz w:val="20"/>
              </w:rPr>
              <w:t>Required</w:t>
            </w:r>
          </w:p>
        </w:tc>
        <w:tc>
          <w:tcPr>
            <w:tcW w:type="dxa" w:w="2016"/>
            <w:vAlign w:val="center"/>
            <w:tcMar>
              <w:top w:w="90" w:type="dxa"/>
              <w:left w:w="95" w:type="dxa"/>
              <w:bottom w:w="90" w:type="dxa"/>
              <w:right w:w="95" w:type="dxa"/>
            </w:tcMar>
          </w:tcPr>
          <w:p>
            <w:pPr>
              <w:keepNext w:val="0"/>
              <w:spacing w:after="0" w:line="245" w:lineRule="auto"/>
              <w:jc w:val="center"/>
            </w:pPr>
            <w:r>
              <w:rPr>
                <w:rFonts w:ascii="Calibri" w:hAnsi="Calibri"/>
                <w:sz w:val="20"/>
              </w:rPr>
              <w:t>Required</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Required</w:t>
            </w:r>
          </w:p>
        </w:tc>
      </w:tr>
      <w:tr>
        <w:trPr>
          <w:cantSplit/>
        </w:trPr>
        <w:tc>
          <w:tcPr>
            <w:tcW w:type="dxa" w:w="4320"/>
            <w:vAlign w:val="center"/>
            <w:tcMar>
              <w:top w:w="90" w:type="dxa"/>
              <w:left w:w="95" w:type="dxa"/>
              <w:bottom w:w="90" w:type="dxa"/>
              <w:right w:w="95" w:type="dxa"/>
            </w:tcMar>
            <w:shd w:fill="F2F5F7"/>
          </w:tcPr>
          <w:p>
            <w:pPr>
              <w:keepNext w:val="0"/>
              <w:spacing w:after="0" w:line="245" w:lineRule="auto"/>
            </w:pPr>
            <w:r>
              <w:rPr>
                <w:rFonts w:ascii="Calibri" w:hAnsi="Calibri"/>
                <w:sz w:val="20"/>
              </w:rPr>
              <w:t>Optional professional profile</w:t>
            </w:r>
          </w:p>
        </w:tc>
        <w:tc>
          <w:tcPr>
            <w:tcW w:type="dxa" w:w="1584"/>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Temporary</w:t>
            </w:r>
          </w:p>
        </w:tc>
        <w:tc>
          <w:tcPr>
            <w:tcW w:type="dxa" w:w="2016"/>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Saved</w:t>
            </w:r>
          </w:p>
        </w:tc>
        <w:tc>
          <w:tcPr>
            <w:tcW w:type="dxa" w:w="216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Saved</w:t>
            </w:r>
          </w:p>
        </w:tc>
      </w:tr>
      <w:tr>
        <w:trPr>
          <w:cantSplit/>
        </w:trPr>
        <w:tc>
          <w:tcPr>
            <w:tcW w:type="dxa" w:w="4320"/>
            <w:vAlign w:val="center"/>
            <w:tcMar>
              <w:top w:w="90" w:type="dxa"/>
              <w:left w:w="95" w:type="dxa"/>
              <w:bottom w:w="90" w:type="dxa"/>
              <w:right w:w="95" w:type="dxa"/>
            </w:tcMar>
          </w:tcPr>
          <w:p>
            <w:pPr>
              <w:keepNext w:val="0"/>
              <w:spacing w:after="0" w:line="245" w:lineRule="auto"/>
            </w:pPr>
            <w:r>
              <w:rPr>
                <w:rFonts w:ascii="Calibri" w:hAnsi="Calibri"/>
                <w:sz w:val="20"/>
              </w:rPr>
              <w:t>Effective gender preference</w:t>
            </w:r>
          </w:p>
        </w:tc>
        <w:tc>
          <w:tcPr>
            <w:tcW w:type="dxa" w:w="1584"/>
            <w:vAlign w:val="center"/>
            <w:tcMar>
              <w:top w:w="90" w:type="dxa"/>
              <w:left w:w="95" w:type="dxa"/>
              <w:bottom w:w="90" w:type="dxa"/>
              <w:right w:w="95" w:type="dxa"/>
            </w:tcMar>
          </w:tcPr>
          <w:p>
            <w:pPr>
              <w:keepNext w:val="0"/>
              <w:spacing w:after="0" w:line="245" w:lineRule="auto"/>
              <w:jc w:val="center"/>
            </w:pPr>
            <w:r>
              <w:rPr>
                <w:rFonts w:ascii="Calibri" w:hAnsi="Calibri"/>
                <w:sz w:val="20"/>
              </w:rPr>
              <w:t>Everyone</w:t>
            </w:r>
          </w:p>
        </w:tc>
        <w:tc>
          <w:tcPr>
            <w:tcW w:type="dxa" w:w="2016"/>
            <w:vAlign w:val="center"/>
            <w:tcMar>
              <w:top w:w="90" w:type="dxa"/>
              <w:left w:w="95" w:type="dxa"/>
              <w:bottom w:w="90" w:type="dxa"/>
              <w:right w:w="95" w:type="dxa"/>
            </w:tcMar>
          </w:tcPr>
          <w:p>
            <w:pPr>
              <w:keepNext w:val="0"/>
              <w:spacing w:after="0" w:line="245" w:lineRule="auto"/>
              <w:jc w:val="center"/>
            </w:pPr>
            <w:r>
              <w:rPr>
                <w:rFonts w:ascii="Calibri" w:hAnsi="Calibri"/>
                <w:sz w:val="20"/>
              </w:rPr>
              <w:t>Everyone</w:t>
            </w:r>
          </w:p>
        </w:tc>
        <w:tc>
          <w:tcPr>
            <w:tcW w:type="dxa" w:w="2160"/>
            <w:vAlign w:val="center"/>
            <w:tcMar>
              <w:top w:w="90" w:type="dxa"/>
              <w:left w:w="95" w:type="dxa"/>
              <w:bottom w:w="90" w:type="dxa"/>
              <w:right w:w="95" w:type="dxa"/>
            </w:tcMar>
          </w:tcPr>
          <w:p>
            <w:pPr>
              <w:keepNext w:val="0"/>
              <w:spacing w:after="0" w:line="245" w:lineRule="auto"/>
            </w:pPr>
            <w:r>
              <w:rPr>
                <w:rFonts w:ascii="Calibri" w:hAnsi="Calibri"/>
                <w:sz w:val="20"/>
              </w:rPr>
              <w:t>Everyone or one specific option</w:t>
            </w:r>
          </w:p>
        </w:tc>
      </w:tr>
      <w:tr>
        <w:trPr>
          <w:cantSplit/>
        </w:trPr>
        <w:tc>
          <w:tcPr>
            <w:tcW w:type="dxa" w:w="4320"/>
            <w:vAlign w:val="center"/>
            <w:tcMar>
              <w:top w:w="90" w:type="dxa"/>
              <w:left w:w="95" w:type="dxa"/>
              <w:bottom w:w="90" w:type="dxa"/>
              <w:right w:w="95" w:type="dxa"/>
            </w:tcMar>
            <w:shd w:fill="F2F5F7"/>
          </w:tcPr>
          <w:p>
            <w:pPr>
              <w:keepNext w:val="0"/>
              <w:spacing w:after="0" w:line="245" w:lineRule="auto"/>
            </w:pPr>
            <w:r>
              <w:rPr>
                <w:rFonts w:ascii="Calibri" w:hAnsi="Calibri"/>
                <w:sz w:val="20"/>
              </w:rPr>
              <w:t>Very soft professional preferences</w:t>
            </w:r>
          </w:p>
        </w:tc>
        <w:tc>
          <w:tcPr>
            <w:tcW w:type="dxa" w:w="1584"/>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No</w:t>
            </w:r>
          </w:p>
        </w:tc>
        <w:tc>
          <w:tcPr>
            <w:tcW w:type="dxa" w:w="2016"/>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No</w:t>
            </w:r>
          </w:p>
        </w:tc>
        <w:tc>
          <w:tcPr>
            <w:tcW w:type="dxa" w:w="2160"/>
            <w:vAlign w:val="center"/>
            <w:tcMar>
              <w:top w:w="90" w:type="dxa"/>
              <w:left w:w="95" w:type="dxa"/>
              <w:bottom w:w="90" w:type="dxa"/>
              <w:right w:w="95" w:type="dxa"/>
            </w:tcMar>
            <w:shd w:fill="F2F5F7"/>
          </w:tcPr>
          <w:p>
            <w:pPr>
              <w:keepNext w:val="0"/>
              <w:spacing w:after="0" w:line="245" w:lineRule="auto"/>
            </w:pPr>
            <w:r>
              <w:rPr>
                <w:rFonts w:ascii="Calibri" w:hAnsi="Calibri"/>
                <w:sz w:val="20"/>
              </w:rPr>
              <w:t>Optional; No preference default</w:t>
            </w:r>
          </w:p>
        </w:tc>
      </w:tr>
      <w:tr>
        <w:trPr>
          <w:cantSplit/>
        </w:trPr>
        <w:tc>
          <w:tcPr>
            <w:tcW w:type="dxa" w:w="4320"/>
            <w:vAlign w:val="center"/>
            <w:tcMar>
              <w:top w:w="90" w:type="dxa"/>
              <w:left w:w="95" w:type="dxa"/>
              <w:bottom w:w="90" w:type="dxa"/>
              <w:right w:w="95" w:type="dxa"/>
            </w:tcMar>
          </w:tcPr>
          <w:p>
            <w:pPr>
              <w:keepNext w:val="0"/>
              <w:spacing w:after="0" w:line="245" w:lineRule="auto"/>
            </w:pPr>
            <w:r>
              <w:rPr>
                <w:rFonts w:ascii="Calibri" w:hAnsi="Calibri"/>
                <w:sz w:val="20"/>
              </w:rPr>
              <w:t>Next Report and Block</w:t>
            </w:r>
          </w:p>
        </w:tc>
        <w:tc>
          <w:tcPr>
            <w:tcW w:type="dxa" w:w="1584"/>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c>
          <w:tcPr>
            <w:tcW w:type="dxa" w:w="2016"/>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r>
      <w:tr>
        <w:trPr>
          <w:cantSplit/>
        </w:trPr>
        <w:tc>
          <w:tcPr>
            <w:tcW w:type="dxa" w:w="4320"/>
            <w:vAlign w:val="center"/>
            <w:tcMar>
              <w:top w:w="90" w:type="dxa"/>
              <w:left w:w="95" w:type="dxa"/>
              <w:bottom w:w="90" w:type="dxa"/>
              <w:right w:w="95" w:type="dxa"/>
            </w:tcMar>
            <w:shd w:fill="F2F5F7"/>
          </w:tcPr>
          <w:p>
            <w:pPr>
              <w:keepNext w:val="0"/>
              <w:spacing w:after="0" w:line="245" w:lineRule="auto"/>
            </w:pPr>
            <w:r>
              <w:rPr>
                <w:rFonts w:ascii="Calibri" w:hAnsi="Calibri"/>
                <w:sz w:val="20"/>
              </w:rPr>
              <w:t>Add mutual friends</w:t>
            </w:r>
          </w:p>
        </w:tc>
        <w:tc>
          <w:tcPr>
            <w:tcW w:type="dxa" w:w="1584"/>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 temporary</w:t>
            </w:r>
          </w:p>
        </w:tc>
        <w:tc>
          <w:tcPr>
            <w:tcW w:type="dxa" w:w="2016"/>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w:t>
            </w:r>
          </w:p>
        </w:tc>
        <w:tc>
          <w:tcPr>
            <w:tcW w:type="dxa" w:w="216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w:t>
            </w:r>
          </w:p>
        </w:tc>
      </w:tr>
      <w:tr>
        <w:trPr>
          <w:cantSplit/>
        </w:trPr>
        <w:tc>
          <w:tcPr>
            <w:tcW w:type="dxa" w:w="4320"/>
            <w:vAlign w:val="center"/>
            <w:tcMar>
              <w:top w:w="90" w:type="dxa"/>
              <w:left w:w="95" w:type="dxa"/>
              <w:bottom w:w="90" w:type="dxa"/>
              <w:right w:w="95" w:type="dxa"/>
            </w:tcMar>
          </w:tcPr>
          <w:p>
            <w:pPr>
              <w:keepNext w:val="0"/>
              <w:spacing w:after="0" w:line="245" w:lineRule="auto"/>
            </w:pPr>
            <w:r>
              <w:rPr>
                <w:rFonts w:ascii="Calibri" w:hAnsi="Calibri"/>
                <w:sz w:val="20"/>
              </w:rPr>
              <w:t>Invite existing friends online</w:t>
            </w:r>
          </w:p>
        </w:tc>
        <w:tc>
          <w:tcPr>
            <w:tcW w:type="dxa" w:w="1584"/>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c>
          <w:tcPr>
            <w:tcW w:type="dxa" w:w="2016"/>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Yes</w:t>
            </w:r>
          </w:p>
        </w:tc>
      </w:tr>
      <w:tr>
        <w:trPr>
          <w:cantSplit/>
        </w:trPr>
        <w:tc>
          <w:tcPr>
            <w:tcW w:type="dxa" w:w="4320"/>
            <w:vAlign w:val="center"/>
            <w:tcMar>
              <w:top w:w="90" w:type="dxa"/>
              <w:left w:w="95" w:type="dxa"/>
              <w:bottom w:w="90" w:type="dxa"/>
              <w:right w:w="95" w:type="dxa"/>
            </w:tcMar>
            <w:shd w:fill="F2F5F7"/>
          </w:tcPr>
          <w:p>
            <w:pPr>
              <w:keepNext w:val="0"/>
              <w:spacing w:after="0" w:line="245" w:lineRule="auto"/>
            </w:pPr>
            <w:r>
              <w:rPr>
                <w:rFonts w:ascii="Calibri" w:hAnsi="Calibri"/>
                <w:sz w:val="20"/>
              </w:rPr>
              <w:t>Purchase Premium</w:t>
            </w:r>
          </w:p>
        </w:tc>
        <w:tc>
          <w:tcPr>
            <w:tcW w:type="dxa" w:w="1584"/>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Register first</w:t>
            </w:r>
          </w:p>
        </w:tc>
        <w:tc>
          <w:tcPr>
            <w:tcW w:type="dxa" w:w="2016"/>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w:t>
            </w:r>
          </w:p>
        </w:tc>
        <w:tc>
          <w:tcPr>
            <w:tcW w:type="dxa" w:w="216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Yes</w:t>
            </w:r>
          </w:p>
        </w:tc>
      </w:tr>
      <w:tr>
        <w:trPr>
          <w:cantSplit/>
        </w:trPr>
        <w:tc>
          <w:tcPr>
            <w:tcW w:type="dxa" w:w="4320"/>
            <w:vAlign w:val="center"/>
            <w:tcMar>
              <w:top w:w="90" w:type="dxa"/>
              <w:left w:w="95" w:type="dxa"/>
              <w:bottom w:w="90" w:type="dxa"/>
              <w:right w:w="95" w:type="dxa"/>
            </w:tcMar>
          </w:tcPr>
          <w:p>
            <w:pPr>
              <w:keepNext w:val="0"/>
              <w:spacing w:after="0" w:line="245" w:lineRule="auto"/>
            </w:pPr>
            <w:r>
              <w:rPr>
                <w:rFonts w:ascii="Calibri" w:hAnsi="Calibri"/>
                <w:sz w:val="20"/>
              </w:rPr>
              <w:t>Offline messages or chat history</w:t>
            </w:r>
          </w:p>
        </w:tc>
        <w:tc>
          <w:tcPr>
            <w:tcW w:type="dxa" w:w="1584"/>
            <w:vAlign w:val="center"/>
            <w:tcMar>
              <w:top w:w="90" w:type="dxa"/>
              <w:left w:w="95" w:type="dxa"/>
              <w:bottom w:w="90" w:type="dxa"/>
              <w:right w:w="95" w:type="dxa"/>
            </w:tcMar>
          </w:tcPr>
          <w:p>
            <w:pPr>
              <w:keepNext w:val="0"/>
              <w:spacing w:after="0" w:line="245" w:lineRule="auto"/>
              <w:jc w:val="center"/>
            </w:pPr>
            <w:r>
              <w:rPr>
                <w:rFonts w:ascii="Calibri" w:hAnsi="Calibri"/>
                <w:sz w:val="20"/>
              </w:rPr>
              <w:t>No</w:t>
            </w:r>
          </w:p>
        </w:tc>
        <w:tc>
          <w:tcPr>
            <w:tcW w:type="dxa" w:w="2016"/>
            <w:vAlign w:val="center"/>
            <w:tcMar>
              <w:top w:w="90" w:type="dxa"/>
              <w:left w:w="95" w:type="dxa"/>
              <w:bottom w:w="90" w:type="dxa"/>
              <w:right w:w="95" w:type="dxa"/>
            </w:tcMar>
          </w:tcPr>
          <w:p>
            <w:pPr>
              <w:keepNext w:val="0"/>
              <w:spacing w:after="0" w:line="245" w:lineRule="auto"/>
              <w:jc w:val="center"/>
            </w:pPr>
            <w:r>
              <w:rPr>
                <w:rFonts w:ascii="Calibri" w:hAnsi="Calibri"/>
                <w:sz w:val="20"/>
              </w:rPr>
              <w:t>No</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No</w:t>
            </w:r>
          </w:p>
        </w:tc>
      </w:tr>
    </w:tbl>
    <w:p>
      <w:pPr>
        <w:spacing w:after="40" w:before="0" w:line="60" w:lineRule="exact"/>
      </w:pPr>
    </w:p>
    <w:p>
      <w:r>
        <w:t>Safety controls and capacity limits apply equally to all tiers. A friendship is temporary if either participant is still a guest; registration is not required to add or contact that friend. Premium never guarantees a match, verifies a person's gender or profession, or bypasses blocks.</w:t>
      </w:r>
    </w:p>
    <w:p>
      <w:pPr>
        <w:pStyle w:val="Heading2"/>
      </w:pPr>
      <w:r>
        <w:t>5.2 Mobile first responsive design and interaction</w:t>
      </w:r>
    </w:p>
    <w:p>
      <w:r>
        <w:t>Use a calm navy, charcoal and slate palette with one accent, system fonts and generous spacing. Lead with workplace topics rather than people cards. Avoid romantic imagery, photos, swiping, attractiveness cues and gender-targeted landing pages. Primary CTA: Start a Conversation. Product copy may use Talk about work without the hierarchy.</w:t>
      </w:r>
    </w:p>
    <w:p>
      <w:r>
        <w:t>Mobile is the primary design and acceptance target; desktop must retain every finalized feature. Use one responsive SvelteKit website and shared workflows. Design a single-column phone layout first, then add wider layouts when content needs them. Use fluid CSS Grid/Flexbox, wrapping text, flexible controls and bounded content widths; do not scale a fixed desktop canvas down to a phone. Set the viewport to device-width with initial-scale=1 and preserve pinch zoom. Use CSS pixels, not physical display resolution. Test 320, 360, 375, 390 and 430 px phone widths, 768 px tablet, and 1024, 1280, 1440 and 1920 px desktop widths, including intermediate sizes. [S35]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Screen</w:t>
            </w:r>
          </w:p>
        </w:tc>
        <w:tc>
          <w:tcPr>
            <w:tcW w:type="dxa" w:w="77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Required content and states</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Home</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Purpose, Start a Conversation, workplace topics, how it works, Premium explanation, safety and legal links.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Entry and topic sheet</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18+ attestation, rules acceptance, privacy notice and required gender choice with no preselection. Optional professional profile and topic including General Talk.</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Searching</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Cancel, current choices, honest waiting state, connection errors, capacity message and a clear expiry pause. No invented online counts.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Conversation</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Pseudonym, required declared-gender label M / F / Other, topic, temporary messages, composer, Call, Next and More. Explain that labels are self-declared.</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More and safety</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Stay Connected, Report, Block and End. Report &amp; Block is easy to find. Report remains usable without opening payment or registration.</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Audio</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Incoming invitation, Accept/Decline, microphone permission state, Mute, connection status and End. Text remains available.</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Friends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Available to every tier. Accepted names, Available / Busy / Offline, Invite, Call and Remove. Mark guest links Temporary with a plain expiry explanation; no last-seen history.</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Account</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Register, Login, Recovery, Display Name, Bio, private professional details, matching preferences and Settings.</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Premium and payment</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Exact duration, total INR price, tax disclosure, no renewal, self-declared matching limitation, wait-time caveat, checkout status and receipt.</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Settings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Password change, replacement recovery code, logout-all, blocked list, rights request and account deletion.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Contact and grievances</w:t>
            </w:r>
          </w:p>
        </w:tc>
        <w:tc>
          <w:tcPr>
            <w:tcW w:type="dxa" w:w="7776"/>
            <w:vAlign w:val="center"/>
            <w:tcMar>
              <w:top w:w="90" w:type="dxa"/>
              <w:left w:w="95" w:type="dxa"/>
              <w:bottom w:w="90" w:type="dxa"/>
              <w:right w:w="95" w:type="dxa"/>
            </w:tcMar>
          </w:tcPr>
          <w:p>
            <w:pPr>
              <w:keepNext w:val="0"/>
              <w:spacing w:after="0" w:line="245" w:lineRule="auto"/>
            </w:pPr>
            <w:r>
              <w:t>Published operator contacts and officer details; accessible complaint form, secure case-status access, in-app replies and appeals.</w:t>
            </w:r>
          </w:p>
        </w:tc>
      </w:tr>
    </w:tbl>
    <w:p>
      <w:pPr>
        <w:spacing/>
      </w:pPr>
      <w:r>
        <w:t>On phones, keep the conversation primary and use accessible panels or sheets for secondary settings. Keep the composer, Send, call controls and safety actions reachable when the keyboard opens. Provide safe-area padding and dynamic viewport sizing, with a tested keyboard fallback; do not assume 100vh or viewport units alone handle every keyboard. On desktop, center a readable conversation width and optionally use a secondary panel. Allow ordinary vertical scrolling; require no clipped content or page-level horizontal scrolling. Support portrait, landscape, resize, 200 percent text scaling and reflow at 320 CSS px. Rotation or resize must preserve the active interaction. Dialogs must fit the visible viewport, manage focus and keep close/submit controls reachable. [S35, S36]</w:t>
      </w:r>
    </w:p>
    <w:p>
      <w:r>
        <w:t>On Premium matching settings, show Gender preference first. Keep Professional preferences collapsed and set to No preference by default. Each category also has No preference; choosing it clears that category's active selections. Explain: Gender preference is always respected. Professional choices only slightly influence an available match and do not add waiting time. A global No preference switch disables professional scoring while preserving saved choices for later. General Talk supplies the same professional opt-out.</w:t>
      </w:r>
    </w:p>
    <w:p>
      <w:r>
        <w:t>When searching or reconnecting, announce status changes without repeatedly interrupting screen readers. Preserve input while a transient network error is retried, but clear transcript and unsent content on an explicit conversation end. Do not store transcripts in localStorage, IndexedDB, service-worker caches or analytics. Primary interactive controls must have at least 44 x 44 CSS px hit areas with spacing, visible keyboard focus, labels and no hover-only operation. Preserve screen-reader access, contrast and reduced motion; target WCAG 2.2 AA, with the larger touch targets as a product requirement. [S37]</w:t>
      </w:r>
    </w:p>
    <w:p>
      <w:pPr>
        <w:pStyle w:val="Heading2"/>
      </w:pPr>
      <w:r>
        <w:t>5.3 Routes and search visibility</w:t>
      </w:r>
    </w:p>
    <w:p>
      <w:r>
        <w:t>Prerender /, /how-it-works, /premium, /safety, /privacy, /terms, /community-guidelines, /refund-policy, /grievance, /account-deletion and /contact. Keep metadata and meaningful content in initial HTML. Use one canonical host, route-specific titles/descriptions, Open Graph metadata, a sitemap of indexable URLs and truthful WebSite / Organization / BreadcrumbList structured data.</w:t>
      </w:r>
    </w:p>
    <w:p>
      <w:r>
        <w:t>Treat /chat, /register, /login, /recovery, /profile, /settings, /friends and /payment/status as application paths. Apply noindex through the response and fallback HTML. APIs still require authorization. Do not rely on robots.txt to protect private data or block crawlers from seeing necessary noindex directives. Exclude these paths from the sitemap; return 404 for unsupported paths. Staging requires access control and noindex.</w:t>
      </w:r>
    </w:p>
    <w:p>
      <w:r>
        <w:t>Example homepage title: NoTitle | Anonymous Workplace Conversations. Description: Discuss workplace culture, office politics, careers and industry experiences through anonymous text and audio conversations. Avoid implying that all participants are verified professionals.</w:t>
      </w:r>
    </w:p>
    <w:p>
      <w:r>
        <w:t>Target mobile LCP at or below 2.5 seconds, INP at or below 200 milliseconds and CLS at or below 0.1 at the 75th percentile when field data becomes available. Use lab checks before launch. Lazy-load WebRTC and checkout code; keep both off the homepage. Use system fonts, compressed assets, immutable caching for hashed files, semantic HTML and descriptive links. Do not promise search ranking. Add Search Console and useful original content after the product has enough participants.</w:t>
      </w:r>
    </w:p>
    <w:p>
      <w:pPr>
        <w:pStyle w:val="Heading1"/>
      </w:pPr>
      <w:r>
        <w:t>6 User workflows and lifecycle rules</w:t>
      </w:r>
    </w:p>
    <w:p>
      <w:pPr>
        <w:pStyle w:val="Heading2"/>
      </w:pPr>
      <w:r>
        <w:t>6.1 Guest conversation</w:t>
      </w:r>
    </w:p>
    <w:p>
      <w:pPr>
        <w:keepNext/>
        <w:ind w:left="259" w:hanging="259"/>
      </w:pPr>
      <w:r>
        <w:t>1. Visitor chooses Start a Conversation, confirms 18+, accepts the current rules/privacy notice and explicitly selects Male, Female or Other / Non-binary. There is no skip or preselected gender.</w:t>
      </w:r>
    </w:p>
    <w:p>
      <w:pPr>
        <w:keepNext w:val="0"/>
        <w:ind w:left="259" w:hanging="259"/>
      </w:pPr>
      <w:r>
        <w:t>2. Go validates the required gender, then creates a random guest secret in a Secure HttpOnly cookie and a hashed verifier in memory. Gender, optional professional profile and selected topic remain session-scoped.</w:t>
      </w:r>
    </w:p>
    <w:p>
      <w:pPr>
        <w:keepNext w:val="0"/>
        <w:ind w:left="259" w:hanging="259"/>
      </w:pPr>
      <w:r>
        <w:t>3. The browser obtains a single-use realtime ticket, authenticates a WebSocket and joins the shared pool. If selected topics differ, show both honestly; a soft topic match is not a guarantee of identical choices.</w:t>
      </w:r>
    </w:p>
    <w:p>
      <w:pPr>
        <w:keepNext w:val="0"/>
        <w:ind w:left="259" w:hanging="259"/>
      </w:pPr>
      <w:r>
        <w:t>4. The server pairs two eligible participants atomically. Only the public peer view and conversation-scoped handles are returned.</w:t>
      </w:r>
    </w:p>
    <w:p>
      <w:pPr>
        <w:keepNext w:val="0"/>
        <w:ind w:left="259" w:hanging="259"/>
      </w:pPr>
      <w:r>
        <w:t>5. They exchange text and may request audio. Next ends the current interaction and queues only the initiating participant. The other person sees Conversation ended and chooses whether to search again.</w:t>
      </w:r>
    </w:p>
    <w:p>
      <w:pPr>
        <w:keepNext w:val="0"/>
        <w:ind w:left="259" w:hanging="259"/>
      </w:pPr>
      <w:r>
        <w:t>6. Either participant can request Stay Connected; mutual acceptance adds a friend without registration. End returns to idle and keeps accepted friend links. Block removes the link and ends communication. Report captures only the evidence described in Section 10.</w:t>
      </w:r>
    </w:p>
    <w:p>
      <w:r>
        <w:t>Guest defaults: expire after 30 minutes without authorized activity or connection, with a 24-hour maximum session lifetime. Active participants receive advance expiry notice, including the effect on temporary friends. Ending a conversation keeps the identity and friends; ending the guest session removes them. Refresh or a brief disconnect preserves links while the same guest identity remains valid. Losing the cookie makes that identity inaccessible; its server state expires by TTL. Temporary blocks cannot reliably recognize a person returning with a new identity.</w:t>
      </w:r>
    </w:p>
    <w:p>
      <w:pPr>
        <w:pStyle w:val="Heading2"/>
      </w:pPr>
      <w:r>
        <w:t>6.2 Registration and recovery</w:t>
      </w:r>
    </w:p>
    <w:p>
      <w:r>
        <w:t>Registration asks for a normalized private username, password, public Display Name, required gender and consent. A registering guest confirms the gender already selected; Bio and professional attributes remain optional. Username: 4–24 lowercase ASCII letters, digits, underscore or hyphen; reserve staff and impersonation-prone names. Display Name: 2–24 characters; Bio: at most 160. Reject invalid Unicode/control characters and clearly explain public visibility.</w:t>
      </w:r>
    </w:p>
    <w:p>
      <w:r>
        <w:t>Use a password policy allowing password managers and paste, with a minimum of 12 characters and a bounded maximum. Benchmark Argon2id on the target server and rate-limit before hashing. Generate a recovery code with at least 128 bits of randomness, show it once and store only a verifier. Require the username plus code to reset a forgotten password. Replacement invalidates the previous code and all existing sessions. If both password and recovery code are lost, support cannot reconstruct access; a payment receipt alone is not account-ownership proof.</w:t>
      </w:r>
    </w:p>
    <w:p>
      <w:r>
        <w:t>For a guest upgrading mid-conversation, the coordinator reserves the current participant slot and identity generation. Commit the account, rotate the session and rebind the same participant slot only if the match is still valid. Carry the required gender, accepted guest friend links, blocks, restrictions and recent-pair state; create durable blocks where both resulting identities are registered. Promote an already accepted friendship once both endpoints are accounts, without requesting consent again. Keep a link temporary while either endpoint remains a guest. Reject stale guest credentials. If the peer already left or safety validation fails, finish registration and return to idle rather than resurrecting the match. A database failure must leave the original guest session usable or safely ended, never half authenticated.</w:t>
      </w:r>
    </w:p>
    <w:p>
      <w:pPr>
        <w:pStyle w:val="Heading2"/>
      </w:pPr>
      <w:r>
        <w:t>6.3 Stay Connected and friend conversations</w:t>
      </w:r>
    </w:p>
    <w:p>
      <w:r>
        <w:t>A request is permitted between current conversation participants in every tier combination: Guest–Guest, Guest–Free/Premium and Account–Account. Both people must explicitly agree, but neither must register. Use a stable session pseudonym to identify a guest in the friend list. Show registration only as an optional way to preserve that person's identity and eligible connections; it must not gate Add friend, acceptance, text invitations or calls.</w:t>
      </w:r>
    </w:p>
    <w:p>
      <w:r>
        <w:t>Store pending requests only in memory until accepted, declined, withdrawn or the interaction ends. A sees Request sent; do not announce an explicit rejection. B receives an immediate accept/not-now prompt. Reciprocal requests count as two affirmative consents and create exactly one relationship. For two accounts, commit a normalized database friendship; if either endpoint is a guest, create a normalized in-memory friendship. Recheck identity validity, blocks and restrictions before either operation.</w:t>
      </w:r>
    </w:p>
    <w:p>
      <w:r>
        <w:t>A friendship between two accounts survives logout and restarts. A guest link survives conversation changes and temporary disconnection, but expires when either guest identity ends or expires, on server restart, or on Remove/Block. Purge both endpoint indexes and invalidate relationship handles; inform an online peer that the temporary connection ended. Do not retain dead guest entries in a registered friend list or promise recovery after cookie loss.</w:t>
      </w:r>
    </w:p>
    <w:p>
      <w:r>
        <w:t>During registration, rebind accepted links to the same person's new account identity and deduplicate by normalized pair. A link becomes durable only after both endpoints are accounts and the database commit succeeds. Preserve mutual consent, but recheck blocks, expiry and deletion. A failed promotion remains temporary and visibly pending retry; never announce durable saving before commit. Do not silently import guest links into an unrelated existing account on login.</w:t>
      </w:r>
    </w:p>
    <w:p>
      <w:r>
        <w:t>Presence is disclosed only to accepted, unblocked friends. Every tier can invite a friend to text or audio; the recipient must be online, available and accept. Expire invitations after 30 seconds and do not queue offline messages. A busy recipient stays in the current interaction. No invitation silently interrupts a random chat. Remove ends an active friend interaction and removes the relationship; Block also prohibits future matching or invitations. Unblock does not restore friendship. The guest TTL never extends just because a friendship exists.</w:t>
      </w:r>
    </w:p>
    <w:p>
      <w:pPr>
        <w:pStyle w:val="Heading2"/>
      </w:pPr>
      <w:r>
        <w:t>6.4 Payment and Premium use</w:t>
      </w:r>
    </w:p>
    <w:p>
      <w:r>
        <w:t>An authenticated user selects a plan, confirms the total and enters hosted checkout. The browser displays Payment processing until the backend confirms captured funds and a committed entitlement. A lost browser callback must not lose the purchase. Receipt and expiry remain available inside the account. NoTitle sends no user emails. Provider or bank payment communications are separate and must be disclosed accurately.</w:t>
      </w:r>
    </w:p>
    <w:p>
      <w:r>
        <w:t>Saved Premium preferences persist after expiry but become inactive. If a specific gender search loses entitlement, cancel its reservation or queue entry and show Renew or Continue with Everyone. The second option requires an explicit new queue command. If preference was already Everyone, searching may continue with soft Premium ranking disabled and a visible notice. An existing conversation is allowed to finish unless a safety restriction applies.</w:t>
      </w:r>
    </w:p>
    <w:p>
      <w:pPr>
        <w:pStyle w:val="Heading2"/>
      </w:pPr>
      <w:r>
        <w:t>6.5 Logout deletion and recovery from outages</w:t>
      </w:r>
    </w:p>
    <w:p>
      <w:r>
        <w:t>Logout ends the current socket, match and call and revokes that session. Logout-all revokes all account sessions. A second browser session cannot silently take over an active conversation: ask for an explicit takeover, then terminate the old interaction before activating the new connection.</w:t>
      </w:r>
    </w:p>
    <w:p>
      <w:r>
        <w:t>Delete Account requires recent reauthentication and a clear statement about access, remaining Premium and legally retained records. Immediately disable access, revoke sessions, remove queue state and relationships, close media and schedule deletion. Handle pending payments/refunds against restricted financial references without reactivating the account. Keep a deletion tombstone outside the ordinary database backup stream; a successful deletion receipt requires that tombstone to be durable. If external tombstone persistence fails, access remains disabled and the deletion job is visibly pending.</w:t>
      </w:r>
    </w:p>
    <w:p>
      <w:r>
        <w:t>After a server restart, guests must restart and all live interactions end. Registered identities, friendships between two accounts, durable blocks and paid entitlements survive; guest identities and guest friend links do not. Show an honest reconnect/restart message. Never reconstruct a transcript from operational logs. A database outage disables new matching and sensitive writes until safety and entitlement state can be trusted; end existing interactions after a short controlled shutdown if revocation enforcement cannot be maintained.</w:t>
      </w:r>
    </w:p>
    <w:p>
      <w:pPr>
        <w:pStyle w:val="Heading1"/>
        <w:pageBreakBefore/>
      </w:pPr>
      <w:r>
        <w:t>7 Architecture and responsibility boundaries</w:t>
      </w:r>
    </w:p>
    <w:p>
      <w:pPr>
        <w:pStyle w:val="Heading2"/>
      </w:pPr>
      <w:r>
        <w:t>7.1 Deployment model</w:t>
      </w:r>
    </w:p>
    <w:p>
      <w:r>
        <w:t>Run one Go application process with explicit modules on the 2-vCPU / 4-GiB application VM. Caddy serves prerendered public pages and the static SvelteKit application shell, and proxies HTTP/WebSockets to Go. PostgreSQL shares this host on a private network with durable disk and bounded resource budgets. A separate coturn VM handles audio and its local supervisor. Cloudflare proxies website/WebSocket traffic only; TURN is DNS-only. Encrypted backups, journals and security-log archives go to S3 Mumbai. There is no production Node runtime.</w:t>
      </w:r>
    </w:p>
    <w:p>
      <w:pPr>
        <w:jc w:val="center"/>
      </w:pPr>
      <w:r>
        <w:drawing>
          <wp:inline xmlns:a="http://schemas.openxmlformats.org/drawingml/2006/main" xmlns:pic="http://schemas.openxmlformats.org/drawingml/2006/picture">
            <wp:extent cx="6126480" cy="4647790"/>
            <wp:docPr id="1" name="Picture 1" descr="Participants connect through Cloudflare to the Go application for text and signaling, and to a dedicated TURN host for encrypted media. The application uses an approved payment provider and encrypted S3 Mumbai recovery storag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4647790"/>
                    </a:xfrm>
                    <a:prstGeom prst="rect"/>
                  </pic:spPr>
                </pic:pic>
              </a:graphicData>
            </a:graphic>
          </wp:inline>
        </w:drawing>
      </w:r>
    </w:p>
    <w:p>
      <w:pPr>
        <w:spacing w:after="200"/>
      </w:pPr>
      <w:r>
        <w:rPr>
          <w:i/>
          <w:sz w:val="18"/>
        </w:rPr>
        <w:t>Figure 1  Production responsibilities and traffic paths</w:t>
      </w:r>
    </w:p>
    <w:p>
      <w:r>
        <w:t>SvelteKit supports static output with a fallback for non-prerendered application routes. Configure only known app paths to use that fallback and preserve the prerendered homepage. The exact supported adapter configuration must match the pinned framework release. [S01]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52"/>
        <w:gridCol w:w="3852"/>
      </w:tblGrid>
      <w:tr>
        <w:trPr>
          <w:cantSplit/>
          <w:tblHeader/>
        </w:trPr>
        <w:tc>
          <w:tcPr>
            <w:tcW w:type="dxa" w:w="23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Component</w:t>
            </w:r>
          </w:p>
        </w:tc>
        <w:tc>
          <w:tcPr>
            <w:tcW w:type="dxa" w:w="3852"/>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Owns</w:t>
            </w:r>
          </w:p>
        </w:tc>
        <w:tc>
          <w:tcPr>
            <w:tcW w:type="dxa" w:w="3852"/>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Must not own</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Browser</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Accessible UI, temporary displayed messages, microphone permission, WebRTC peer connection</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Trusted price, Premium status, arbitrary peer routing or authorization decisions</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Caddy and Cloudflare</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TLS, static files, origin routing, headers and cache policy</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WebSocket event authorization or general chat-body logging</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Go coordinator</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Presence, queue, reservations, interaction ownership, bounded buffers and generation checks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Permanent ordinary message history or unbounded goroutines</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Go domain modules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Accounts, permissions, payment verification, reporting, background jobs and policy evaluation</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Independent copies of authoritative matching state</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PostgreSQL</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Durable identity, relationships, payment ledger, cases, legal metadata, jobs and aggregates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Live queue, ordinary chat, audio payloads or pending friend requests</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coturn and relay supervisor</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Encrypted audio relay, quotas, allocation lifecycle and application lease enforcement</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Audio recordings, transcription or public administration</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Private operations interface</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Scoped case actions, refunds, restrictions, audits and health</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Browsing all conversations or exposing evidence to normal users</w:t>
            </w:r>
          </w:p>
        </w:tc>
      </w:tr>
    </w:tbl>
    <w:p>
      <w:pPr>
        <w:spacing w:after="40" w:before="0" w:line="60" w:lineRule="exact"/>
      </w:pPr>
    </w:p>
    <w:p>
      <w:r>
        <w:t>The relay supervisor is a small deployment component on the TURN host, not a separate public product service. It may be a second mode of the same Go codebase. It exposes only a private authenticated control path and a narrow set of relay lifecycle actions.</w:t>
      </w:r>
    </w:p>
    <w:p>
      <w:pPr>
        <w:pStyle w:val="Heading2"/>
      </w:pPr>
      <w:r>
        <w:t>7.2 Repository and local environment</w:t>
      </w:r>
    </w:p>
    <w:p>
      <w:r>
        <w:t>Use web/ for routes, components, typed API clients, realtime and voice code; server/ for cmd, internal modules, migrations and tests; deploy/ for local, staging, production, TURN and backup configuration; docs/ for architecture decisions, OpenAPI, event schemas, runbooks, policy versions and release evidence.</w:t>
      </w:r>
    </w:p>
    <w:p>
      <w:r>
        <w:t>Server modules: auth, guest, profile, matching, realtime, chat, friends, voice, payments, premium, moderation, grievances, retention, admin, storage and observability. Domain interfaces include Clock, IDGenerator, PaymentProvider, RealtimeCoordinator, EvidenceStore, RetentionPolicy and RelayController. An interface alone does not make a future multi-instance matchmaker safe.</w:t>
      </w:r>
    </w:p>
    <w:p>
      <w:r>
        <w:t>Use WSL2 with a supported container runtime on Windows. Provide one documented bootstrap command and separate fast-development and production-like Compose modes. Commit dependency locks, Go module sums, migration files, an environment-variable schema and sanitized configuration examples. Pin supported versions at Phase 1 and update through reviewed changes. Local and staging use test payment keys and synthetic users only.</w:t>
      </w:r>
    </w:p>
    <w:p>
      <w:pPr>
        <w:pStyle w:val="Heading2"/>
      </w:pPr>
      <w:r>
        <w:t>7.3 State ownership and durable side effects</w:t>
      </w:r>
    </w:p>
    <w:p>
      <w:r>
        <w:t>One coordinator goroutine owns all participant and interaction transitions. Socket readers validate envelopes and enqueue bounded commands; socket writers consume bounded outgoing queues. Database and provider calls run outside the coordinator so one slow payment or query cannot stall all conversations.</w:t>
      </w:r>
    </w:p>
    <w:p>
      <w:r>
        <w:t>For a durable action, reserve a short-lived operation token with participant generation and safety version, perform the database work, then submit its result to the coordinator. Revalidate before applying it. Safety actions first set an immediate in-memory restriction so a slow block write cannot allow another match. Acknowledge persistence only after the transaction succeeds. On failed safety persistence, keep the affected interaction stopped and return a retryable result.</w:t>
      </w:r>
    </w:p>
    <w:p>
      <w:r>
        <w:t>Use a PostgreSQL jobs/outbox table for payment reconciliation, in-app grievance updates and operator alerts, retention and deletion. Claim jobs with a lease and bounded retries; recover abandoned jobs after process failure. Jobs that affect entitlements or restrictions emit a durable invalidation event. If the live coordinator cannot apply that event, pause affected matching rather than continue with stale authorization. Global health failure makes the service unready.</w:t>
      </w:r>
    </w:p>
    <w:p>
      <w:pPr>
        <w:pStyle w:val="Heading1"/>
      </w:pPr>
      <w:r>
        <w:t>8 Matchmaking implementation</w:t>
      </w:r>
    </w:p>
    <w:p>
      <w:pPr>
        <w:pStyle w:val="Heading2"/>
      </w:pPr>
      <w:r>
        <w:t>8.1 One pool and explicit state</w:t>
      </w:r>
    </w:p>
    <w:p>
      <w:r>
        <w:t>GlobalWaitingPool is the single authoritative waiting collection. Gender indexes accelerate hard compatibility; topic and professional data only provide small tie-breaks over that same collection. They never create separate Free/Premium populations or restrict the candidate scan to a profession. Each identity has at most one live participant slot, one queue entry and one active interaction. Guest-to-account upgrades preserve the slot while rotating its identity binding.</w:t>
      </w:r>
    </w:p>
    <w:p>
      <w:r>
        <w:t>Use participant states OFFLINE, IDLE, WAITING, RESERVED and MATCHED. Call state is nested inside a conversation. An explicit friend invitation can reserve two idle participants using the same interaction allocator. A queue entry includes participant handle, session generation, queued_at, profile version, preference snapshot, entitlement version and safety version.</w:t>
      </w:r>
    </w:p>
    <w:p>
      <w:pPr>
        <w:pStyle w:val="Heading2"/>
      </w:pPr>
      <w:r>
        <w:t>8.2 Hard compatibility</w:t>
      </w:r>
    </w:p>
    <w:p>
      <w:r>
        <w:t>A pair is valid only if both participants have a valid required gender, are online, available, allowed to interact and not the same identity; neither has blocked the other; neither is suspended or being deleted; neither is committed to another interaction; and both directional gender requirements are satisfied. The pair must also be outside the four-second immediate rematch cooldown.</w:t>
      </w:r>
    </w:p>
    <w:p>
      <w:r>
        <w:t>A specific requested preference requires active Premium at commit time. A Guest or Free client's attempt to submit it receives PREMIUM_REQUIRED rather than silently becoming Everyone. Everyone accepts male, female and other. Male, Female and Other each accept only the corresponding declared code. Missing or invalid gender returns GENDER_REQUIRED and prevents interaction until corrected. Neither professional relevance, waiting time, paid status nor candidate scarcity can override either person's gender preference. Unknown professional details never make an otherwise valid pair ineligible.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3312"/>
        <w:gridCol w:w="2448"/>
      </w:tblGrid>
      <w:tr>
        <w:trPr>
          <w:cantSplit/>
          <w:tblHeader/>
        </w:trPr>
        <w:tc>
          <w:tcPr>
            <w:tcW w:type="dxa" w:w="2160"/>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A preference</w:t>
            </w:r>
          </w:p>
        </w:tc>
        <w:tc>
          <w:tcPr>
            <w:tcW w:type="dxa" w:w="2160"/>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B declaration</w:t>
            </w:r>
          </w:p>
        </w:tc>
        <w:tc>
          <w:tcPr>
            <w:tcW w:type="dxa" w:w="3312"/>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B preference toward A</w:t>
            </w:r>
          </w:p>
        </w:tc>
        <w:tc>
          <w:tcPr>
            <w:tcW w:type="dxa" w:w="2448"/>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Result</w:t>
            </w:r>
          </w:p>
        </w:tc>
      </w:tr>
      <w:tr>
        <w:trPr>
          <w:cantSplit/>
        </w:trPr>
        <w:tc>
          <w:tcPr>
            <w:tcW w:type="dxa" w:w="2160"/>
            <w:vAlign w:val="center"/>
            <w:tcMar>
              <w:top w:w="90" w:type="dxa"/>
              <w:left w:w="95" w:type="dxa"/>
              <w:bottom w:w="90" w:type="dxa"/>
              <w:right w:w="95" w:type="dxa"/>
            </w:tcMar>
          </w:tcPr>
          <w:p>
            <w:pPr>
              <w:keepNext w:val="0"/>
              <w:spacing w:after="0" w:line="245" w:lineRule="auto"/>
            </w:pPr>
            <w:r>
              <w:rPr>
                <w:rFonts w:ascii="Calibri" w:hAnsi="Calibri"/>
                <w:sz w:val="20"/>
              </w:rPr>
              <w:t>Everyone</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Other / Non-binary</w:t>
            </w:r>
          </w:p>
        </w:tc>
        <w:tc>
          <w:tcPr>
            <w:tcW w:type="dxa" w:w="3312"/>
            <w:vAlign w:val="center"/>
            <w:tcMar>
              <w:top w:w="90" w:type="dxa"/>
              <w:left w:w="95" w:type="dxa"/>
              <w:bottom w:w="90" w:type="dxa"/>
              <w:right w:w="95" w:type="dxa"/>
            </w:tcMar>
          </w:tcPr>
          <w:p>
            <w:pPr>
              <w:keepNext w:val="0"/>
              <w:spacing w:after="0" w:line="245" w:lineRule="auto"/>
              <w:jc w:val="center"/>
            </w:pPr>
            <w:r>
              <w:rPr>
                <w:rFonts w:ascii="Calibri" w:hAnsi="Calibri"/>
                <w:sz w:val="20"/>
              </w:rPr>
              <w:t>Accepts A</w:t>
            </w:r>
          </w:p>
        </w:tc>
        <w:tc>
          <w:tcPr>
            <w:tcW w:type="dxa" w:w="2448"/>
            <w:vAlign w:val="center"/>
            <w:tcMar>
              <w:top w:w="90" w:type="dxa"/>
              <w:left w:w="95" w:type="dxa"/>
              <w:bottom w:w="90" w:type="dxa"/>
              <w:right w:w="95" w:type="dxa"/>
            </w:tcMar>
          </w:tcPr>
          <w:p>
            <w:pPr>
              <w:keepNext w:val="0"/>
              <w:spacing w:after="0" w:line="245" w:lineRule="auto"/>
              <w:jc w:val="center"/>
            </w:pPr>
            <w:r>
              <w:rPr>
                <w:rFonts w:ascii="Calibri" w:hAnsi="Calibri"/>
                <w:sz w:val="20"/>
              </w:rPr>
              <w:t>Eligible</w:t>
            </w:r>
          </w:p>
        </w:tc>
      </w:tr>
      <w:tr>
        <w:trPr>
          <w:cantSplit/>
        </w:trPr>
        <w:tc>
          <w:tcPr>
            <w:tcW w:type="dxa" w:w="2160"/>
            <w:vAlign w:val="center"/>
            <w:tcMar>
              <w:top w:w="90" w:type="dxa"/>
              <w:left w:w="95" w:type="dxa"/>
              <w:bottom w:w="90" w:type="dxa"/>
              <w:right w:w="95" w:type="dxa"/>
            </w:tcMar>
            <w:shd w:fill="F2F5F7"/>
          </w:tcPr>
          <w:p>
            <w:pPr>
              <w:keepNext w:val="0"/>
              <w:spacing w:after="0" w:line="245" w:lineRule="auto"/>
            </w:pPr>
            <w:r>
              <w:rPr>
                <w:rFonts w:ascii="Calibri" w:hAnsi="Calibri"/>
                <w:sz w:val="20"/>
              </w:rPr>
              <w:t>Female</w:t>
            </w:r>
          </w:p>
        </w:tc>
        <w:tc>
          <w:tcPr>
            <w:tcW w:type="dxa" w:w="216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Female</w:t>
            </w:r>
          </w:p>
        </w:tc>
        <w:tc>
          <w:tcPr>
            <w:tcW w:type="dxa" w:w="3312"/>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Accepts A</w:t>
            </w:r>
          </w:p>
        </w:tc>
        <w:tc>
          <w:tcPr>
            <w:tcW w:type="dxa" w:w="2448"/>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Eligible</w:t>
            </w:r>
          </w:p>
        </w:tc>
      </w:tr>
      <w:tr>
        <w:trPr>
          <w:cantSplit/>
        </w:trPr>
        <w:tc>
          <w:tcPr>
            <w:tcW w:type="dxa" w:w="2160"/>
            <w:vAlign w:val="center"/>
            <w:tcMar>
              <w:top w:w="90" w:type="dxa"/>
              <w:left w:w="95" w:type="dxa"/>
              <w:bottom w:w="90" w:type="dxa"/>
              <w:right w:w="95" w:type="dxa"/>
            </w:tcMar>
          </w:tcPr>
          <w:p>
            <w:pPr>
              <w:keepNext w:val="0"/>
              <w:spacing w:after="0" w:line="245" w:lineRule="auto"/>
            </w:pPr>
            <w:r>
              <w:rPr>
                <w:rFonts w:ascii="Calibri" w:hAnsi="Calibri"/>
                <w:sz w:val="20"/>
              </w:rPr>
              <w:t>Any</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Missing or invalid</w:t>
            </w:r>
          </w:p>
        </w:tc>
        <w:tc>
          <w:tcPr>
            <w:tcW w:type="dxa" w:w="3312"/>
            <w:vAlign w:val="center"/>
            <w:tcMar>
              <w:top w:w="90" w:type="dxa"/>
              <w:left w:w="95" w:type="dxa"/>
              <w:bottom w:w="90" w:type="dxa"/>
              <w:right w:w="95" w:type="dxa"/>
            </w:tcMar>
          </w:tcPr>
          <w:p>
            <w:pPr>
              <w:keepNext w:val="0"/>
              <w:spacing w:after="0" w:line="245" w:lineRule="auto"/>
              <w:jc w:val="center"/>
            </w:pPr>
            <w:r>
              <w:rPr>
                <w:rFonts w:ascii="Calibri" w:hAnsi="Calibri"/>
                <w:sz w:val="20"/>
              </w:rPr>
              <w:t>Any</w:t>
            </w:r>
          </w:p>
        </w:tc>
        <w:tc>
          <w:tcPr>
            <w:tcW w:type="dxa" w:w="2448"/>
            <w:vAlign w:val="center"/>
            <w:tcMar>
              <w:top w:w="90" w:type="dxa"/>
              <w:left w:w="95" w:type="dxa"/>
              <w:bottom w:w="90" w:type="dxa"/>
              <w:right w:w="95" w:type="dxa"/>
            </w:tcMar>
          </w:tcPr>
          <w:p>
            <w:pPr>
              <w:keepNext w:val="0"/>
              <w:spacing w:after="0" w:line="245" w:lineRule="auto"/>
            </w:pPr>
            <w:r>
              <w:rPr>
                <w:rFonts w:ascii="Calibri" w:hAnsi="Calibri"/>
                <w:sz w:val="20"/>
              </w:rPr>
              <w:t>Reject onboarding or queue join</w:t>
            </w:r>
          </w:p>
        </w:tc>
      </w:tr>
      <w:tr>
        <w:trPr>
          <w:cantSplit/>
        </w:trPr>
        <w:tc>
          <w:tcPr>
            <w:tcW w:type="dxa" w:w="2160"/>
            <w:vAlign w:val="center"/>
            <w:tcMar>
              <w:top w:w="90" w:type="dxa"/>
              <w:left w:w="95" w:type="dxa"/>
              <w:bottom w:w="90" w:type="dxa"/>
              <w:right w:w="95" w:type="dxa"/>
            </w:tcMar>
            <w:shd w:fill="F2F5F7"/>
          </w:tcPr>
          <w:p>
            <w:pPr>
              <w:keepNext w:val="0"/>
              <w:spacing w:after="0" w:line="245" w:lineRule="auto"/>
            </w:pPr>
            <w:r>
              <w:rPr>
                <w:rFonts w:ascii="Calibri" w:hAnsi="Calibri"/>
                <w:sz w:val="20"/>
              </w:rPr>
              <w:t>Female</w:t>
            </w:r>
          </w:p>
        </w:tc>
        <w:tc>
          <w:tcPr>
            <w:tcW w:type="dxa" w:w="216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Male</w:t>
            </w:r>
          </w:p>
        </w:tc>
        <w:tc>
          <w:tcPr>
            <w:tcW w:type="dxa" w:w="3312"/>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Accepts A</w:t>
            </w:r>
          </w:p>
        </w:tc>
        <w:tc>
          <w:tcPr>
            <w:tcW w:type="dxa" w:w="2448"/>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Ineligible</w:t>
            </w:r>
          </w:p>
        </w:tc>
      </w:tr>
      <w:tr>
        <w:trPr>
          <w:cantSplit/>
        </w:trPr>
        <w:tc>
          <w:tcPr>
            <w:tcW w:type="dxa" w:w="2160"/>
            <w:vAlign w:val="center"/>
            <w:tcMar>
              <w:top w:w="90" w:type="dxa"/>
              <w:left w:w="95" w:type="dxa"/>
              <w:bottom w:w="90" w:type="dxa"/>
              <w:right w:w="95" w:type="dxa"/>
            </w:tcMar>
          </w:tcPr>
          <w:p>
            <w:pPr>
              <w:keepNext w:val="0"/>
              <w:spacing w:after="0" w:line="245" w:lineRule="auto"/>
            </w:pPr>
            <w:r>
              <w:rPr>
                <w:rFonts w:ascii="Calibri" w:hAnsi="Calibri"/>
                <w:sz w:val="20"/>
              </w:rPr>
              <w:t>Male</w:t>
            </w:r>
          </w:p>
        </w:tc>
        <w:tc>
          <w:tcPr>
            <w:tcW w:type="dxa" w:w="2160"/>
            <w:vAlign w:val="center"/>
            <w:tcMar>
              <w:top w:w="90" w:type="dxa"/>
              <w:left w:w="95" w:type="dxa"/>
              <w:bottom w:w="90" w:type="dxa"/>
              <w:right w:w="95" w:type="dxa"/>
            </w:tcMar>
          </w:tcPr>
          <w:p>
            <w:pPr>
              <w:keepNext w:val="0"/>
              <w:spacing w:after="0" w:line="245" w:lineRule="auto"/>
              <w:jc w:val="center"/>
            </w:pPr>
            <w:r>
              <w:rPr>
                <w:rFonts w:ascii="Calibri" w:hAnsi="Calibri"/>
                <w:sz w:val="20"/>
              </w:rPr>
              <w:t>Male</w:t>
            </w:r>
          </w:p>
        </w:tc>
        <w:tc>
          <w:tcPr>
            <w:tcW w:type="dxa" w:w="3312"/>
            <w:vAlign w:val="center"/>
            <w:tcMar>
              <w:top w:w="90" w:type="dxa"/>
              <w:left w:w="95" w:type="dxa"/>
              <w:bottom w:w="90" w:type="dxa"/>
              <w:right w:w="95" w:type="dxa"/>
            </w:tcMar>
          </w:tcPr>
          <w:p>
            <w:pPr>
              <w:keepNext w:val="0"/>
              <w:spacing w:after="0" w:line="245" w:lineRule="auto"/>
              <w:jc w:val="center"/>
            </w:pPr>
            <w:r>
              <w:rPr>
                <w:rFonts w:ascii="Calibri" w:hAnsi="Calibri"/>
                <w:sz w:val="20"/>
              </w:rPr>
              <w:t>Rejects A</w:t>
            </w:r>
          </w:p>
        </w:tc>
        <w:tc>
          <w:tcPr>
            <w:tcW w:type="dxa" w:w="2448"/>
            <w:vAlign w:val="center"/>
            <w:tcMar>
              <w:top w:w="90" w:type="dxa"/>
              <w:left w:w="95" w:type="dxa"/>
              <w:bottom w:w="90" w:type="dxa"/>
              <w:right w:w="95" w:type="dxa"/>
            </w:tcMar>
          </w:tcPr>
          <w:p>
            <w:pPr>
              <w:keepNext w:val="0"/>
              <w:spacing w:after="0" w:line="245" w:lineRule="auto"/>
              <w:jc w:val="center"/>
            </w:pPr>
            <w:r>
              <w:rPr>
                <w:rFonts w:ascii="Calibri" w:hAnsi="Calibri"/>
                <w:sz w:val="20"/>
              </w:rPr>
              <w:t>Ineligible</w:t>
            </w:r>
          </w:p>
        </w:tc>
      </w:tr>
      <w:tr>
        <w:trPr>
          <w:cantSplit/>
        </w:trPr>
        <w:tc>
          <w:tcPr>
            <w:tcW w:type="dxa" w:w="2160"/>
            <w:vAlign w:val="center"/>
            <w:tcMar>
              <w:top w:w="90" w:type="dxa"/>
              <w:left w:w="95" w:type="dxa"/>
              <w:bottom w:w="90" w:type="dxa"/>
              <w:right w:w="95" w:type="dxa"/>
            </w:tcMar>
            <w:shd w:fill="F2F5F7"/>
          </w:tcPr>
          <w:p>
            <w:pPr>
              <w:keepNext w:val="0"/>
              <w:spacing w:after="0" w:line="245" w:lineRule="auto"/>
            </w:pPr>
            <w:r>
              <w:rPr>
                <w:rFonts w:ascii="Calibri" w:hAnsi="Calibri"/>
                <w:sz w:val="20"/>
              </w:rPr>
              <w:t>Any</w:t>
            </w:r>
          </w:p>
        </w:tc>
        <w:tc>
          <w:tcPr>
            <w:tcW w:type="dxa" w:w="216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Any</w:t>
            </w:r>
          </w:p>
        </w:tc>
        <w:tc>
          <w:tcPr>
            <w:tcW w:type="dxa" w:w="3312"/>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Either side blocked</w:t>
            </w:r>
          </w:p>
        </w:tc>
        <w:tc>
          <w:tcPr>
            <w:tcW w:type="dxa" w:w="2448"/>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Ineligible</w:t>
            </w:r>
          </w:p>
        </w:tc>
      </w:tr>
    </w:tbl>
    <w:p>
      <w:pPr>
        <w:spacing w:after="40" w:before="0" w:line="60" w:lineRule="exact"/>
      </w:pPr>
    </w:p>
    <w:p>
      <w:r>
        <w:t>Validate gender at guest creation, registration, profile update, queue join and invitation acceptance. Existing incomplete identities can access recovery or account controls but must choose gender before interaction; never fill a missing value by inference. Snapshot declared gender for the waiting entry and active conversation. An edit while waiting increments profile generation and reindexes; invalidate any incompatible reservation. During a conversation, explain that edits apply to the next interaction. Do not change the eligibility meaning of a conversation after it has begun.</w:t>
      </w:r>
    </w:p>
    <w:p>
      <w:pPr>
        <w:pStyle w:val="Heading2"/>
      </w:pPr>
      <w:r>
        <w:t>8.3 Professional ranking and wait fairness</w:t>
      </w:r>
    </w:p>
    <w:p>
      <w:r>
        <w:t>Premium defaults to No preference for professional matching. Offer a global No preference switch and that option within each category: industry, role/profession, experience, interests and preferred discussion topics. Each category permits at most five choices; interests permit ten. Multiple choices mean OR. Disabled, empty or unknown fields contribute zero, never a penalty or rejection. General Talk disables professional influence while retaining saved selections for later.</w:t>
      </w:r>
    </w:p>
    <w:p>
      <w:r>
        <w:t>Apply matching in this order: validate safety and both gender preferences; enforce the four-second immediate rematch cooldown; choose the oldest participant with a feasible partner; then select an available compatible candidate using waiting time and recent-pair protection. Professional overlap is only a very small tie-break for otherwise similar candidates. Scan the full gender-compatible population within a bounded time budget; do not search profession buckets first or hold a participant for a better profile.</w:t>
      </w:r>
    </w:p>
    <w:p>
      <w:r>
        <w:t>Use a concrete initial candidate score in waiting-second units: candidate_wait_seconds minus recent_pair_penalty plus topic_bonus plus professional_bonus. Waiting age is not capped. A shared non-General current topic contributes at most 0.5. For an active Premium direction, each enabled professional category contributes at most 0.1 for an OR match; interest overlap is a capped fraction. Sum the five categories and average the two directional totals: professional_bonus is at most 0.5. A Guest/Free direction or No preference contributes zero. Never normalize a lone selected category to a large score.</w:t>
      </w:r>
    </w:p>
    <w:p>
      <w:r>
        <w:t>Multiply both bonuses by max(0, 1 - max(anchor_wait_seconds, candidate_wait_seconds) / 5). Thus all relevance bonuses together can offset at most one second of waiting, professional preferences at most half a second, and both fade to zero once either person has waited five seconds. With identical recent-pair penalties and current-topic bonuses, professional overlap cannot jump ahead of a candidate waiting more than half a second longer. These are conservative tunable defaults; preserve the small bound, mandatory gender rules and no-delay guarantee when tuning. Premium has no paid queue priority.</w:t>
      </w:r>
    </w:p>
    <w:p>
      <w:r>
        <w:t>Run matching on joins, departures, relevant updates and a short timer, initially 100 milliseconds. Pair immediately whenever a hard-compatible candidate exists, even with no professional overlap or missing professional data. No profession-based threshold or extra waiting stage is permitted. Break final ties by greater waiting age, then a server-generated random value. An unmatched constrained participant must not block unrelated compatible pairs. If no gender-compatible candidate exists, keep searching and offer explicit preference changes; never relax gender automatically or fabricate availability.</w:t>
      </w:r>
    </w:p>
    <w:p>
      <w:r>
        <w:t>For example, a Premium participant choosing Female and Engineering can immediately match a Female participant in Finance. A Male engineer remains ineligible for that search. No preference sets professional influence to zero; it does not change the gender requirement. The shared pool includes compatible guests and Free users as well as Premium users.</w:t>
      </w:r>
    </w:p>
    <w:p>
      <w:pPr>
        <w:pStyle w:val="Heading2"/>
      </w:pPr>
      <w:r>
        <w:t>8.4 Repeats reservations and races</w:t>
      </w:r>
    </w:p>
    <w:p>
      <w:r>
        <w:t>Store normalized recent-pair keys in memory. Let t be seconds since the prior interaction ended. For t below four, disallow the pair. After that, use a suggested penalty of 60 * exp(-(t - 4) / 10). It rapidly becomes small; expire the record after five minutes. If the previous participant is the only compatible choice, allow the rematch as soon as the cooldown ends.</w:t>
      </w:r>
    </w:p>
    <w:p>
      <w:r>
        <w:t>After two repeated skips of the same pair within a minute, show a small advisory with Keep searching and Pause. Do not add a hidden long exclusion. Keep Next available. Choosing Block creates a hard restriction.</w:t>
      </w:r>
    </w:p>
    <w:p>
      <w:r>
        <w:t>Reserve both slots together, increment the interaction epoch, recheck the current hard rules and commit exactly one interaction. If either participant has disconnected, expired, blocked, changed profile or lost entitlement, release both reservations safely. Give restrictions and deletion priority over queued chat, call and friendship operations. Revalidate membership on every action even after matching.</w:t>
      </w:r>
    </w:p>
    <w:p>
      <w:r>
        <w:t>When a socket disconnects, remove waiting entries immediately. For an established text conversation, retain bounded state for a 25-second grace window, with the peer notified and sending disabled. Resume only with the same valid identity, server instance and epoch. At grace expiry, end and purge. Audio ends on signaling loss; it requires a new accepted request after reconnect. This trades brief-call continuity for reliable control of media.</w:t>
      </w:r>
    </w:p>
    <w:p>
      <w:pPr>
        <w:pStyle w:val="Heading2"/>
      </w:pPr>
      <w:r>
        <w:t>8.5 Match quality metrics</w:t>
      </w:r>
    </w:p>
    <w:p>
      <w:r>
        <w:t>Collect aggregate wait percentiles, available-compatible-candidate latency, queue abandonment, match success, repeat-pair rate and professional overlap. Compare professional preferences enabled versus No preference; overlap must not be optimized at the cost of extra waiting or fewer eligible matches. Report hard-filter wait separately from server processing latency: no server can guarantee a match when no eligible participant exists. Suppress small demographic aggregates and do not expose live gender inventories to users. Tune scores using bounded experiments and aggregate outcomes, without storing transcripts or creating persistent browsing profiles.</w:t>
      </w:r>
    </w:p>
    <w:p>
      <w:pPr>
        <w:pStyle w:val="Heading1"/>
      </w:pPr>
      <w:r>
        <w:t>9 Realtime and audio contracts</w:t>
      </w:r>
    </w:p>
    <w:p>
      <w:pPr>
        <w:pStyle w:val="Heading2"/>
      </w:pPr>
      <w:r>
        <w:t>9.1 WebSocket protocol</w:t>
      </w:r>
    </w:p>
    <w:p>
      <w:r>
        <w:t>POST /api/v1/realtime/ticket requires a valid cookie, CSRF protection and allowed Origin. It issues a random, one-use ticket valid for 60 seconds. Open /ws, verify exact Origin and authenticate with that ticket in the first frame within five seconds. Never put session secrets in URLs or browser storage. Apply handshake quotas before allocating a participant slot.</w:t>
      </w:r>
    </w:p>
    <w:p>
      <w:r>
        <w:t>Every envelope carries protocol version, event ID, type, connection generation and bounded payload; interaction actions also carry interaction ID and epoch. The server assigns sequence numbers to accepted messages. Accept no client-selected random peer ID. Friends are addressed through relationship-scoped opaque handles and an authorization check.</w:t>
      </w:r>
    </w:p>
    <w:p>
      <w:r>
        <w:t>Use client send IDs for deduplication during the live interaction. Server acceptance ACK means accepted by the relay, not durable storage or proof that a human read it. A recipient delivery ACK means rendered by the connected client. A message whose delivery is uncertain is shown as such. Do not silently replay it into a different epoch. At reconnect, return only data still present in the same bounded memory buffer; do not promise complete replay or exactly-once delivery across a process crash.</w:t>
      </w:r>
    </w:p>
    <w:p>
      <w:r>
        <w:t>Initial limits: 8 KiB per ordinary frame; text at most 2,000 Unicode code points and 6 KiB UTF-8; 64 KiB for an explicitly typed SDP event; at most 30 recent messages or 64 KiB per interaction, whichever is reached first. Cap outgoing buffers, dedupe maps and report snapshots globally. Apply tighter event-specific schema limits. Close slow consumers with a recoverable explanation. Disable optional WebSocket compression initially until its memory and abuse implications are measured.</w:t>
      </w:r>
    </w:p>
    <w:p>
      <w:r>
        <w:t>Use heartbeat every 20 seconds, a 45-second dead-connection threshold and reconnect backoff with jitter. Each client command returns success, a retryable failure or a stable error code such as STALE_EPOCH, NOT_AVAILABLE, PREMIUM_REQUIRED, BLOCKED, RATE_LIMITED or CAPACITY_REACHED. Do not expose internal identifiers in explanations.</w:t>
      </w:r>
    </w:p>
    <w:p>
      <w:pPr>
        <w:pStyle w:val="Heading2"/>
      </w:pPr>
      <w:r>
        <w:t>9.2 Text safety and lifecycle</w:t>
      </w:r>
    </w:p>
    <w:p>
      <w:r>
        <w:t>Render escaped text and emoji only. No HTML, Markdown rendering, embeds, previews or automatic links. Do not log message bodies, usernames, passwords, cookies, recovery codes, SDP or payment secrets in ordinary logs. Apply limits before parsing large payloads. Validate malformed Unicode, directionality/control characters and spam without silently altering normal user meaning.</w:t>
      </w:r>
    </w:p>
    <w:p>
      <w:r>
        <w:t>NoTitle's text transport is TLS-protected but server-readable; do not label text end-to-end encrypted. The server's small memory buffer enables delivery retry and user-initiated reporting. Normal conversation end clears the server buffer and client transcript. Disable core dumps and unencrypted swap that could undermine this lifecycle; avoid content in tracing and crash-reporting tools.</w:t>
      </w:r>
    </w:p>
    <w:p>
      <w:pPr>
        <w:pStyle w:val="Heading2"/>
      </w:pPr>
      <w:r>
        <w:t>9.3 Audio consent and signaling</w:t>
      </w:r>
    </w:p>
    <w:p>
      <w:r>
        <w:t>Call states are IDLE, REQUESTED, RINGING, ACCEPTED, CONNECTING, CONNECTED and ENDED. Only one request can be outstanding in an interaction. Ring for up to 30 seconds; apply a 15-second decline cooldown. Start microphone capture only after an explicit Call or Accept action and browser permission. A caller's action authorizes their microphone; the receiver's device remains untouched until acceptance.</w:t>
      </w:r>
    </w:p>
    <w:p>
      <w:r>
        <w:t>Authorize offer, answer and ICE against the accepted call ID and epoch. Use audio-only media, Opus and relay-only ICE. Parse and validate the entire SDP, including embedded ICE candidates and connection-address fields; checking only separate trickle-ICE messages is insufficient. Permit only expected audio sections and approved TURN relay addresses. Do not add a data channel or video section. Define offer ownership and glare handling so simultaneous requests produce one call.</w:t>
      </w:r>
    </w:p>
    <w:p>
      <w:r>
        <w:t>Browsers exchange DTLS-SRTP-protected audio through TURN; ordinary TURN forwarding does not decrypt the media. Avoid claiming protection against malicious peers recording, impersonating voices or identifying one another from what they say. Do not provide recording, transcription, voice cloning or voice-print features.</w:t>
      </w:r>
    </w:p>
    <w:p>
      <w:pPr>
        <w:pStyle w:val="Heading2"/>
      </w:pPr>
      <w:r>
        <w:t>9.4 Relay deployment and enforceable shutdown</w:t>
      </w:r>
    </w:p>
    <w:p>
      <w:r>
        <w:t>Expose UDP/TCP 3478 and TURN over TLS/TCP 443 on the dedicated host. TURN on 443 is not HTTPS and must not be routed through Cloudflare's ordinary HTTP proxy. Use a publicly trusted certificate, DNS-only turn hostname and a bounded UDP relay range, initially 49152–50175 (1024 ports), sized by actual allocation use. Deny private, loopback, link-local, metadata and multicast relay targets for IPv4 and IPv6. No public CLI or metrics listener.</w:t>
      </w:r>
    </w:p>
    <w:p>
      <w:r>
        <w:t>Issue HMAC-derived temporary credentials only after call acceptance. Give each participant a random call-specific relay username, ten-minute initial credential lifetime and refresh at five minutes. Refresh does not prove old allocations stopped. Enforce allocation quotas, throughput bounds and a total call cap. At four allocations per participant, 25 calls require allowance for 25 x 2 x 4 = 200 simultaneous allocations plus measured operational headroom. Validate ICE restarts and cancellation without exhausting the 1024-port relay range.</w:t>
      </w:r>
    </w:p>
    <w:p>
      <w:r>
        <w:t>The Go application grants a renewable private call lease to the relay supervisor. The supervisor maps call-specific usernames to allocations, renews allowed sessions while the application is healthy, and forcibly cancels allocations when the call ends, the lease expires or the application instance disappears. coturn exposes administrative session cancellation; integrate and test it against the pinned release. [S02]</w:t>
      </w:r>
    </w:p>
    <w:p>
      <w:r>
        <w:t>Next, Block, End, logout and deletion send call termination, stop browser tracks, close the peer connection, cancel relay allocations and stop issuing credentials. A credential remains replayable until its own expiry; therefore the supervisor must also detect and cancel newly created allocations for a revoked call until that expiry. Do not equate a single cancellation with permanent credential revocation. Keep the revocation set in memory through this interval; on supervisor restart, clear allocations and refuse new leases until state is resynchronized.</w:t>
      </w:r>
    </w:p>
    <w:p>
      <w:r>
        <w:t>Acceptance target: participating browsers stop promptly, revoked allocations are removed within five seconds under normal operations, and orphaned calls are removed within the 30-second lease deadline after an application failure. These are release criteria to test, not coturn defaults. If the control path cannot meet them, keep public audio disabled while completing the implementation. Existing text functionality may remain available. Corporate firewalls can still prevent audio even with TLS fallback; provide an honest text fallback.</w:t>
      </w:r>
    </w:p>
    <w:p>
      <w:pPr>
        <w:pStyle w:val="Heading1"/>
      </w:pPr>
      <w:r>
        <w:t>10 Reporting blocking and operations</w:t>
      </w:r>
    </w:p>
    <w:p>
      <w:pPr>
        <w:pStyle w:val="Heading2"/>
      </w:pPr>
      <w:r>
        <w:t>10.1 Report evidence</w:t>
      </w:r>
    </w:p>
    <w:p>
      <w:r>
        <w:t>Use categories for harassment, threats, doxxing, confidentiality, targeted false accusations, scams, impersonation, suspected underage access, sexual misconduct, spam and Other. Severity routing must not depend only on the category selected; urgent free-text indicators and manual review can escalate a case. Do not automatically ban an account because it receives many reports.</w:t>
      </w:r>
    </w:p>
    <w:p>
      <w:r>
        <w:t>Report Begin verifies current participation and snapshots the last eligible messages in RAM, bounded by the ordinary buffer limit. It returns an unguessable two-minute report handle. The report form lets the user select relevant messages and add a short description. A peer leaving after Report Begin does not destroy that pending snapshot. Submit atomically creates the report and selected server-attributed evidence. Client-supplied allegations remain separately labelled user statements, not verified transcript.</w:t>
      </w:r>
    </w:p>
    <w:p>
      <w:r>
        <w:t>Report &amp; Block is a combined coordinator action: stop the interaction and impose the local restriction immediately, freeze the eligible evidence before purge, then persist the report and any durable block transactionally. If storage fails, do not display Report submitted. Keep the local block, show a retryable failure and offer the grievance route; the temporary snapshot still has a hard expiry. Submission IDs prevent duplicate cases on retry.</w:t>
      </w:r>
    </w:p>
    <w:p>
      <w:r>
        <w:t>Keep a bounded participant-to-ended-interaction reference in memory for ten minutes, without message content, so a recent participant can submit a metadata-only report through an opaque handle. After that or a restart, use the formal grievance route. A report made after a normal conversation end can contain a statement and permitted reference metadata, but there may be no transcript. Say that plainly. Voice reports contain allegations, call reference/timing and any available related text; moderators cannot replay unrecorded audio. NoTitle must not promise that reports always prove wrongdoing.</w:t>
      </w:r>
    </w:p>
    <w:p>
      <w:pPr>
        <w:pStyle w:val="Heading2"/>
      </w:pPr>
      <w:r>
        <w:t>10.2 Block enforcement and privacy</w:t>
      </w:r>
    </w:p>
    <w:p>
      <w:r>
        <w:t>Blocks are directed records, but either direction prevents matchmaking, invitations and active communication. Registered-to-registered blocks persist. Blocks involving a guest are temporary unless a subsequent in-session upgrade makes both identities durable. A new guest session or separate account can evade identity-based blocking; use bounded network/session restrictions and case review as supplementary controls.</w:t>
      </w:r>
    </w:p>
    <w:p>
      <w:r>
        <w:t>Recheck restrictions at match commit, friend acceptance, message send, call start and reconnect. Blocking removes friendships and pending invitations. Do not reveal who blocked whom. A new alias cannot bypass a block on the same account. Do not implement persistent device fingerprinting to compensate for guest limitations.</w:t>
      </w:r>
    </w:p>
    <w:p>
      <w:pPr>
        <w:pStyle w:val="Heading2"/>
      </w:pPr>
      <w:r>
        <w:t>10.3 Private administration</w:t>
      </w:r>
    </w:p>
    <w:p>
      <w:r>
        <w:t>Serve the operations interface on a private listener behind an authenticated VPN or access gateway. Use separate admin identities, cookies, MFA and scoped roles: owner, moderator, grievance officer, billing operator and read-only operations. A single founder may initially hold several roles, but a backup operator must be appointed. Do not hard-code one person as the only possible administrator.</w:t>
      </w:r>
    </w:p>
    <w:p>
      <w:r>
        <w:t>Provide case list/detail, severity and due time, restriction history, evidence access, notes, resolutions, appeals, payment/refund review, reconciliation exceptions, system health and audit search. Every sensitive view or mutation records who, what, when, reason and result. Moderators do not see payment details; billing staff do not get general evidence access. Do not create an unrestricted live-chat browser.</w:t>
      </w:r>
    </w:p>
    <w:p>
      <w:r>
        <w:t>Protect exported evidence with explicit authorization, short-lived access, encryption and an audit event. Operator notes are personal data too. Separate action history from mutable case status; correcting a mistake adds an audited action rather than deleting history. Give restricted users a plain reason where lawful and an appeal path without disclosing a reporter's identity.</w:t>
      </w:r>
    </w:p>
    <w:p>
      <w:pPr>
        <w:pStyle w:val="Heading1"/>
      </w:pPr>
      <w:r>
        <w:t>11 Data model and interface specification</w:t>
      </w:r>
    </w:p>
    <w:p>
      <w:pPr>
        <w:pStyle w:val="Heading2"/>
      </w:pPr>
      <w:r>
        <w:t>11.1 Durable schema</w:t>
      </w:r>
    </w:p>
    <w:p>
      <w:r>
        <w:t>Use UUIDs internally, UTC timestamptz values, integer paise, parameterized queries and explicit enum/check constraints. Expose scoped opaque references rather than internal account IDs. Every hot query needs an index, timeout and tested query plan. Separate migration and runtime database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Entity group</w:t>
            </w:r>
          </w:p>
        </w:tc>
        <w:tc>
          <w:tcPr>
            <w:tcW w:type="dxa" w:w="77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Tables and minimum constraints</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Identity</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accounts: unique normalized username, password/recovery verifiers, status, generation, consent and deletion timestamps. profiles: one row per account, required gender with NOT NULL and a male/female/other CHECK, plus public fields. professional_profiles/interests: controlled vocabularies and unique selections.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Sessions and consent</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sessions: unique token hash, account, created/absolute/idle expiry and revoked timestamp. consent_events: policy type/version, acceptance or withdrawal, timestamp and restricted provenance.</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Preferences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matchmaking_preferences: gender_preference, professional_mode none/custom, versions; preferred_industries, roles, experience, interests and topics have bounded unique selections. No preference uses mode none globally or an empty category; do not store a fake profession value.</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Relationships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Durable friendships require two account IDs, normalized user_a less than user_b and a unique pair. Guest links stay in memory until both endpoints are accounts. Blocks: unique blocker/blocked pair, no self-block. Opaque per-relationship handles.</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Safety</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reports, report_evidence, moderation_actions, legal_holds and case_subject_refs. Evidence has server sequence, case-specific speaker reference, collection reason and retention_until. Guest references use restricted case-scoped mappings.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Commerce</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premium_plans and immutable plan versions; purchase_orders; payment_attempts; payment_webhook_inbox; premium_accounts; premium_lots; premium_adjustments; refunds; disputes and settlement_reconciliation.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Operations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admin_users/sessions/audit; grievances with deadlines; jobs/outbox with leases/retries; retention_rules; deletion_jobs/tombstones; restricted account_retention.</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Analytics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hourly/daily aggregates with retention, coarse cohorts and no ordinary message content.</w:t>
            </w:r>
          </w:p>
        </w:tc>
      </w:tr>
    </w:tbl>
    <w:p>
      <w:pPr>
        <w:spacing w:after="40" w:before="0" w:line="60" w:lineRule="exact"/>
      </w:pPr>
    </w:p>
    <w:p>
      <w:r>
        <w:t>A purchase order has unique provider order ID and unique account plus idempotency key, expected amount/currency, plan snapshot, environment and lifecycle status. Payment attempts are many-to-one by order with unique provider payment IDs. A granted Premium lot has a unique captured purchase reference. Webhook events are unique by provider, environment and event ID. Refunds have unique internal request and provider refund IDs with cumulative amount constrained by captured funds. Enforce economic invariants in transactions, not only frontend validation.</w:t>
      </w:r>
    </w:p>
    <w:p>
      <w:r>
        <w:t>premium_accounts holds a serialized balance projection and last accounting timestamp. premium_lots records duration granted, duration consumed, duration revoked and originating purchase. Adjustments carry reason, money reference, duration delta and operator. Expiry is a derived, rebuildable projection, not the sole source of truth. Deletion cannot cascade away required payment or legal records; detach them into restricted references under the retention policy.</w:t>
      </w:r>
    </w:p>
    <w:p>
      <w:pPr>
        <w:pStyle w:val="Heading2"/>
      </w:pPr>
      <w:r>
        <w:t>11.2 Ephemeral schema</w:t>
      </w:r>
    </w:p>
    <w:p>
      <w:r>
        <w:t>Memory collections include guest verifiers, participant slots, socket sessions, queue entries and indexes, reservations, active interactions, message/deduplication buffers, accepted guest friendships, friend requests/invitations, report drafts, short-lived ended-interaction report references, call/relay leases, recent-pair records and temporary rate limits. Each collection has count/byte bounds, TTL or explicit terminal cleanup, and metrics. An in-memory guest friendship holds typed endpoint references, a normalized pair key, consent times, identity generations, scoped handles and guest expiry dependencies. Maintain reverse indexes for cleanup and a configurable per-identity relationship cap. Rebind endpoints atomically during registration; persist only when both account endpoints and safety checks are valid. No persistent guest account, normal messages table, presence history or offline pending-invitation store is introduced.</w:t>
      </w:r>
    </w:p>
    <w:p>
      <w:r>
        <w:t>Backups must cover all durable constraints and jobs, not memory collections. Versioned migrations are forward compatible. Use optimistic versions or row locks for conflicting writes and unique constraints as the final duplicate barrier. Ensure report evidence encryption keys remain recoverable during restoration without granting broad app access to historical evidence.</w:t>
      </w:r>
    </w:p>
    <w:p>
      <w:pPr>
        <w:pStyle w:val="Heading2"/>
      </w:pPr>
      <w:r>
        <w:t>11.3 REST surface</w:t>
      </w:r>
    </w:p>
    <w:p>
      <w:r>
        <w:t>All ordinary endpoints use /api/v1, JSON schemas, request IDs and stable errors. Publish OpenAPI and generate or validate frontend types. Cookie-authenticated writes need CSRF protection. Provider webhooks use their own signature authentication and are exempt from browser CSRF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Methods and path group</w:t>
            </w:r>
          </w:p>
        </w:tc>
        <w:tc>
          <w:tcPr>
            <w:tcW w:type="dxa" w:w="77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Contract</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POST /guest/session and DELETE /guest/session</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Create or end the temporary identity; require a valid gender plus age/rules acceptance. Ending removes its temporary friend links and pending invitations.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POST /auth/register, /login, /logout, /logout-all, /recover, /change-password</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Generic public auth failures, session rotation, recovery-code use and sensitive-action reauthentication.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GET /me and PATCH /me/profile, /me/professional-profile</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Guest/account self access with version checks. Partial updates retain existing gender; it cannot be cleared or set invalid. Guest changes stay in memory. Peer views use an explicit allowlist.</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GET/PATCH /me/matching-preferences and DELETE /me</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Saved preferences; account deletion is a tracked process with immediate access disablement.</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GET /friends and DELETE /friends/{friendRef}</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Authorize guest and account sessions. List or remove accepted links; return temporary/durable lifecycle state and scoped handles. No public user search.</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POST /reports/begin and POST /reports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Freeze a valid temporary snapshot, then persist a selected case. Interaction-specific authorization.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GET/POST /blocks and DELETE /blocks/{blockRef}</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Self-owned block management using authorized peer or relationship handles.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POST /grievances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Public, rate-limited complaint submission with reference and secure status access or reply contact.</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GET /premium/plans and /me/premium</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Public enabled offers and authoritative self entitlement/expiry.</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POST /payments/orders and /payments/verify</w:t>
            </w:r>
          </w:p>
        </w:tc>
        <w:tc>
          <w:tcPr>
            <w:tcW w:type="dxa" w:w="7776"/>
            <w:vAlign w:val="center"/>
            <w:tcMar>
              <w:top w:w="90" w:type="dxa"/>
              <w:left w:w="95" w:type="dxa"/>
              <w:bottom w:w="90" w:type="dxa"/>
              <w:right w:w="95" w:type="dxa"/>
            </w:tcMar>
            <w:shd w:fill="F2F5F7"/>
          </w:tcPr>
          <w:p>
            <w:pPr>
              <w:keepNext w:val="0"/>
              <w:spacing w:after="0" w:line="245" w:lineRule="auto"/>
            </w:pPr>
            <w:r>
              <w:t>Server-priced idempotent order creation; provider-side payment verification and reconciliation. Browser return alone grants nothing.</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GET /payments/{purchaseRef} and /me/receipts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Self-owned status and receipts; no arbitrary payment lookup.</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t>POST /webhooks/cashfree</w:t>
            </w:r>
          </w:p>
        </w:tc>
        <w:tc>
          <w:tcPr>
            <w:tcW w:type="dxa" w:w="7776"/>
            <w:vAlign w:val="center"/>
            <w:tcMar>
              <w:top w:w="90" w:type="dxa"/>
              <w:left w:w="95" w:type="dxa"/>
              <w:bottom w:w="90" w:type="dxa"/>
              <w:right w:w="95" w:type="dxa"/>
            </w:tcMar>
            <w:shd w:fill="F2F5F7"/>
          </w:tcPr>
          <w:p>
            <w:pPr>
              <w:keepNext w:val="0"/>
              <w:spacing w:after="0" w:line="245" w:lineRule="auto"/>
            </w:pPr>
            <w:r>
              <w:t>Provider-specific signature verification over the raw body, durable inbox and bounded processing.</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POST /realtime/ticket and GET /ws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Authenticated realtime connection establishment.</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POST /voice/turn-credentials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Credentials only for the caller's accepted active call; never a public TURN token dispenser.</w:t>
            </w:r>
          </w:p>
        </w:tc>
      </w:tr>
    </w:tbl>
    <w:p>
      <w:pPr>
        <w:spacing w:after="40" w:before="0" w:line="60" w:lineRule="exact"/>
      </w:pPr>
    </w:p>
    <w:p>
      <w:r>
        <w:t>Private admin routes cover case actions, restrictions, refund review, reconciliation, policy configuration and audit. Role checks run on every route; hiding a menu is not authorization. Health endpoints reveal only minimal readiness/liveness publicly; detailed metrics and profiling remain private.</w:t>
      </w:r>
    </w:p>
    <w:p>
      <w:pPr>
        <w:pStyle w:val="Heading2"/>
      </w:pPr>
      <w:r>
        <w:t>11.4 Realtime events</w:t>
      </w:r>
    </w:p>
    <w:p>
      <w:r>
        <w:t>Client events: queue.join/leave, chat.send, chat.delivery_ack, match.next/end, friend.request/accept/decline, friend.invite/accept_invite/decline_invite, call.request/accept/decline/end, webrtc.offer/answer/ice and heartbeat. Report and block use the canonical REST handlers, which submit commands to the same coordinator, to avoid two competing implementations.</w:t>
      </w:r>
    </w:p>
    <w:p>
      <w:r>
        <w:t>Server events: session.ready/replaced, queue.joined/paused, match.found/ended, peer.disconnected/reconnected, chat.message/ack, friend.request.received/created/incoming, friend.removed/expired/persisted, call.incoming/accepted/ended, signaling events, premium.changed/expired, error and pong. Version schemas and define allowed events per state. Test unsupported versions, duplicate IDs, stale generations and malformed payloads with recorded protocol fixtures containing synthetic content only.</w:t>
      </w:r>
    </w:p>
    <w:p>
      <w:pPr>
        <w:pStyle w:val="Heading1"/>
      </w:pPr>
      <w:r>
        <w:t>12 Payments entitlements and refunds</w:t>
      </w:r>
    </w:p>
    <w:p>
      <w:pPr>
        <w:pStyle w:val="Heading2"/>
      </w:pPr>
      <w:r>
        <w:t>12.1 Offer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880"/>
        <w:gridCol w:w="3816"/>
        <w:gridCol w:w="1656"/>
      </w:tblGrid>
      <w:tr>
        <w:trPr>
          <w:cantSplit/>
          <w:tblHeader/>
        </w:trPr>
        <w:tc>
          <w:tcPr>
            <w:tcW w:type="dxa" w:w="1728"/>
            <w:vAlign w:val="center"/>
            <w:tcMar>
              <w:top w:w="90" w:type="dxa"/>
              <w:left w:w="95" w:type="dxa"/>
              <w:bottom w:w="90" w:type="dxa"/>
              <w:right w:w="95" w:type="dxa"/>
            </w:tcMar>
            <w:shd w:fill="1F3650"/>
          </w:tcPr>
          <w:p>
            <w:pPr>
              <w:keepNext/>
              <w:spacing w:after="0" w:line="245" w:lineRule="auto"/>
            </w:pPr>
            <w:r>
              <w:rPr>
                <w:rFonts w:ascii="Calibri" w:hAnsi="Calibri"/>
                <w:b/>
                <w:color w:val="FFFFFF"/>
                <w:sz w:val="20"/>
              </w:rPr>
              <w:t>Plan</w:t>
            </w:r>
          </w:p>
        </w:tc>
        <w:tc>
          <w:tcPr>
            <w:tcW w:type="dxa" w:w="2880"/>
            <w:vAlign w:val="center"/>
            <w:tcMar>
              <w:top w:w="90" w:type="dxa"/>
              <w:left w:w="95" w:type="dxa"/>
              <w:bottom w:w="90" w:type="dxa"/>
              <w:right w:w="95" w:type="dxa"/>
            </w:tcMar>
            <w:shd w:fill="1F3650"/>
          </w:tcPr>
          <w:p>
            <w:pPr>
              <w:keepNext/>
              <w:spacing w:after="0" w:line="245" w:lineRule="auto"/>
              <w:jc w:val="center"/>
            </w:pPr>
            <w:r>
              <w:rPr>
                <w:rFonts w:ascii="Calibri" w:hAnsi="Calibri"/>
                <w:b/>
                <w:color w:val="FFFFFF"/>
                <w:sz w:val="20"/>
              </w:rPr>
              <w:t>Exact duration</w:t>
            </w:r>
          </w:p>
        </w:tc>
        <w:tc>
          <w:tcPr>
            <w:tcW w:type="dxa" w:w="3816"/>
            <w:vAlign w:val="center"/>
            <w:tcMar>
              <w:top w:w="90" w:type="dxa"/>
              <w:left w:w="95" w:type="dxa"/>
              <w:bottom w:w="90" w:type="dxa"/>
              <w:right w:w="95" w:type="dxa"/>
            </w:tcMar>
            <w:shd w:fill="1F3650"/>
          </w:tcPr>
          <w:p>
            <w:pPr>
              <w:keepNext/>
              <w:spacing w:after="0" w:line="245" w:lineRule="auto"/>
              <w:jc w:val="center"/>
            </w:pPr>
            <w:r>
              <w:rPr>
                <w:rFonts w:ascii="Calibri" w:hAnsi="Calibri"/>
                <w:b/>
                <w:color w:val="FFFFFF"/>
                <w:sz w:val="20"/>
              </w:rPr>
              <w:t>Proposed displayed total</w:t>
            </w:r>
          </w:p>
        </w:tc>
        <w:tc>
          <w:tcPr>
            <w:tcW w:type="dxa" w:w="1656"/>
            <w:vAlign w:val="center"/>
            <w:tcMar>
              <w:top w:w="90" w:type="dxa"/>
              <w:left w:w="95" w:type="dxa"/>
              <w:bottom w:w="90" w:type="dxa"/>
              <w:right w:w="95" w:type="dxa"/>
            </w:tcMar>
            <w:shd w:fill="1F3650"/>
          </w:tcPr>
          <w:p>
            <w:pPr>
              <w:keepNext/>
              <w:spacing w:after="0" w:line="245" w:lineRule="auto"/>
              <w:jc w:val="center"/>
            </w:pPr>
            <w:r>
              <w:rPr>
                <w:rFonts w:ascii="Calibri" w:hAnsi="Calibri"/>
                <w:b/>
                <w:color w:val="FFFFFF"/>
                <w:sz w:val="20"/>
              </w:rPr>
              <w:t>Renewal</w:t>
            </w:r>
          </w:p>
        </w:tc>
      </w:tr>
      <w:tr>
        <w:trPr>
          <w:cantSplit/>
        </w:trPr>
        <w:tc>
          <w:tcPr>
            <w:tcW w:type="dxa" w:w="1728"/>
            <w:vAlign w:val="center"/>
            <w:tcMar>
              <w:top w:w="90" w:type="dxa"/>
              <w:left w:w="95" w:type="dxa"/>
              <w:bottom w:w="90" w:type="dxa"/>
              <w:right w:w="95" w:type="dxa"/>
            </w:tcMar>
          </w:tcPr>
          <w:p>
            <w:pPr>
              <w:keepNext/>
              <w:spacing w:after="0" w:line="245" w:lineRule="auto"/>
            </w:pPr>
            <w:r>
              <w:rPr>
                <w:rFonts w:ascii="Calibri" w:hAnsi="Calibri"/>
                <w:sz w:val="20"/>
              </w:rPr>
              <w:t>Three day</w:t>
            </w:r>
          </w:p>
        </w:tc>
        <w:tc>
          <w:tcPr>
            <w:tcW w:type="dxa" w:w="2880"/>
            <w:vAlign w:val="center"/>
            <w:tcMar>
              <w:top w:w="90" w:type="dxa"/>
              <w:left w:w="95" w:type="dxa"/>
              <w:bottom w:w="90" w:type="dxa"/>
              <w:right w:w="95" w:type="dxa"/>
            </w:tcMar>
          </w:tcPr>
          <w:p>
            <w:pPr>
              <w:keepNext/>
              <w:spacing w:after="0" w:line="245" w:lineRule="auto"/>
              <w:jc w:val="center"/>
            </w:pPr>
            <w:r>
              <w:rPr>
                <w:rFonts w:ascii="Calibri" w:hAnsi="Calibri"/>
                <w:sz w:val="20"/>
              </w:rPr>
              <w:t>72 hours</w:t>
            </w:r>
          </w:p>
        </w:tc>
        <w:tc>
          <w:tcPr>
            <w:tcW w:type="dxa" w:w="3816"/>
            <w:vAlign w:val="center"/>
            <w:tcMar>
              <w:top w:w="90" w:type="dxa"/>
              <w:left w:w="95" w:type="dxa"/>
              <w:bottom w:w="90" w:type="dxa"/>
              <w:right w:w="95" w:type="dxa"/>
            </w:tcMar>
          </w:tcPr>
          <w:p>
            <w:pPr>
              <w:keepNext/>
              <w:spacing w:after="0" w:line="245" w:lineRule="auto"/>
              <w:jc w:val="center"/>
            </w:pPr>
            <w:r>
              <w:rPr>
                <w:rFonts w:ascii="Calibri" w:hAnsi="Calibri"/>
                <w:sz w:val="20"/>
              </w:rPr>
              <w:t>INR 99</w:t>
            </w:r>
          </w:p>
        </w:tc>
        <w:tc>
          <w:tcPr>
            <w:tcW w:type="dxa" w:w="1656"/>
            <w:vAlign w:val="center"/>
            <w:tcMar>
              <w:top w:w="90" w:type="dxa"/>
              <w:left w:w="95" w:type="dxa"/>
              <w:bottom w:w="90" w:type="dxa"/>
              <w:right w:w="95" w:type="dxa"/>
            </w:tcMar>
          </w:tcPr>
          <w:p>
            <w:pPr>
              <w:keepNext/>
              <w:spacing w:after="0" w:line="245" w:lineRule="auto"/>
              <w:jc w:val="center"/>
            </w:pPr>
            <w:r>
              <w:rPr>
                <w:rFonts w:ascii="Calibri" w:hAnsi="Calibri"/>
                <w:sz w:val="20"/>
              </w:rPr>
              <w:t>None</w:t>
            </w:r>
          </w:p>
        </w:tc>
      </w:tr>
      <w:tr>
        <w:trPr>
          <w:cantSplit/>
        </w:trPr>
        <w:tc>
          <w:tcPr>
            <w:tcW w:type="dxa" w:w="1728"/>
            <w:vAlign w:val="center"/>
            <w:tcMar>
              <w:top w:w="90" w:type="dxa"/>
              <w:left w:w="95" w:type="dxa"/>
              <w:bottom w:w="90" w:type="dxa"/>
              <w:right w:w="95" w:type="dxa"/>
            </w:tcMar>
            <w:shd w:fill="F2F5F7"/>
          </w:tcPr>
          <w:p>
            <w:pPr>
              <w:keepNext/>
              <w:spacing w:after="0" w:line="245" w:lineRule="auto"/>
            </w:pPr>
            <w:r>
              <w:rPr>
                <w:rFonts w:ascii="Calibri" w:hAnsi="Calibri"/>
                <w:sz w:val="20"/>
              </w:rPr>
              <w:t>Seven day</w:t>
            </w:r>
          </w:p>
        </w:tc>
        <w:tc>
          <w:tcPr>
            <w:tcW w:type="dxa" w:w="2880"/>
            <w:vAlign w:val="center"/>
            <w:tcMar>
              <w:top w:w="90" w:type="dxa"/>
              <w:left w:w="95" w:type="dxa"/>
              <w:bottom w:w="90" w:type="dxa"/>
              <w:right w:w="95" w:type="dxa"/>
            </w:tcMar>
            <w:shd w:fill="F2F5F7"/>
          </w:tcPr>
          <w:p>
            <w:pPr>
              <w:keepNext/>
              <w:spacing w:after="0" w:line="245" w:lineRule="auto"/>
              <w:jc w:val="center"/>
            </w:pPr>
            <w:r>
              <w:rPr>
                <w:rFonts w:ascii="Calibri" w:hAnsi="Calibri"/>
                <w:sz w:val="20"/>
              </w:rPr>
              <w:t>168 hours</w:t>
            </w:r>
          </w:p>
        </w:tc>
        <w:tc>
          <w:tcPr>
            <w:tcW w:type="dxa" w:w="3816"/>
            <w:vAlign w:val="center"/>
            <w:tcMar>
              <w:top w:w="90" w:type="dxa"/>
              <w:left w:w="95" w:type="dxa"/>
              <w:bottom w:w="90" w:type="dxa"/>
              <w:right w:w="95" w:type="dxa"/>
            </w:tcMar>
            <w:shd w:fill="F2F5F7"/>
          </w:tcPr>
          <w:p>
            <w:pPr>
              <w:keepNext/>
              <w:spacing w:after="0" w:line="245" w:lineRule="auto"/>
              <w:jc w:val="center"/>
            </w:pPr>
            <w:r>
              <w:rPr>
                <w:rFonts w:ascii="Calibri" w:hAnsi="Calibri"/>
                <w:sz w:val="20"/>
              </w:rPr>
              <w:t>INR 199</w:t>
            </w:r>
          </w:p>
        </w:tc>
        <w:tc>
          <w:tcPr>
            <w:tcW w:type="dxa" w:w="1656"/>
            <w:vAlign w:val="center"/>
            <w:tcMar>
              <w:top w:w="90" w:type="dxa"/>
              <w:left w:w="95" w:type="dxa"/>
              <w:bottom w:w="90" w:type="dxa"/>
              <w:right w:w="95" w:type="dxa"/>
            </w:tcMar>
            <w:shd w:fill="F2F5F7"/>
          </w:tcPr>
          <w:p>
            <w:pPr>
              <w:keepNext/>
              <w:spacing w:after="0" w:line="245" w:lineRule="auto"/>
              <w:jc w:val="center"/>
            </w:pPr>
            <w:r>
              <w:rPr>
                <w:rFonts w:ascii="Calibri" w:hAnsi="Calibri"/>
                <w:sz w:val="20"/>
              </w:rPr>
              <w:t>None</w:t>
            </w:r>
          </w:p>
        </w:tc>
      </w:tr>
      <w:tr>
        <w:trPr>
          <w:cantSplit/>
        </w:trPr>
        <w:tc>
          <w:tcPr>
            <w:tcW w:type="dxa" w:w="1728"/>
            <w:vAlign w:val="center"/>
            <w:tcMar>
              <w:top w:w="90" w:type="dxa"/>
              <w:left w:w="95" w:type="dxa"/>
              <w:bottom w:w="90" w:type="dxa"/>
              <w:right w:w="95" w:type="dxa"/>
            </w:tcMar>
          </w:tcPr>
          <w:p>
            <w:pPr>
              <w:keepNext/>
              <w:spacing w:after="0" w:line="245" w:lineRule="auto"/>
            </w:pPr>
            <w:r>
              <w:rPr>
                <w:rFonts w:ascii="Calibri" w:hAnsi="Calibri"/>
                <w:sz w:val="20"/>
              </w:rPr>
              <w:t>Thirty day</w:t>
            </w:r>
          </w:p>
        </w:tc>
        <w:tc>
          <w:tcPr>
            <w:tcW w:type="dxa" w:w="2880"/>
            <w:vAlign w:val="center"/>
            <w:tcMar>
              <w:top w:w="90" w:type="dxa"/>
              <w:left w:w="95" w:type="dxa"/>
              <w:bottom w:w="90" w:type="dxa"/>
              <w:right w:w="95" w:type="dxa"/>
            </w:tcMar>
          </w:tcPr>
          <w:p>
            <w:pPr>
              <w:keepNext/>
              <w:spacing w:after="0" w:line="245" w:lineRule="auto"/>
              <w:jc w:val="center"/>
            </w:pPr>
            <w:r>
              <w:rPr>
                <w:rFonts w:ascii="Calibri" w:hAnsi="Calibri"/>
                <w:sz w:val="20"/>
              </w:rPr>
              <w:t>720 hours</w:t>
            </w:r>
          </w:p>
        </w:tc>
        <w:tc>
          <w:tcPr>
            <w:tcW w:type="dxa" w:w="3816"/>
            <w:vAlign w:val="center"/>
            <w:tcMar>
              <w:top w:w="90" w:type="dxa"/>
              <w:left w:w="95" w:type="dxa"/>
              <w:bottom w:w="90" w:type="dxa"/>
              <w:right w:w="95" w:type="dxa"/>
            </w:tcMar>
          </w:tcPr>
          <w:p>
            <w:pPr>
              <w:keepNext/>
              <w:spacing w:after="0" w:line="245" w:lineRule="auto"/>
              <w:jc w:val="center"/>
            </w:pPr>
            <w:r>
              <w:rPr>
                <w:rFonts w:ascii="Calibri" w:hAnsi="Calibri"/>
                <w:sz w:val="20"/>
              </w:rPr>
              <w:t>INR 499</w:t>
            </w:r>
          </w:p>
        </w:tc>
        <w:tc>
          <w:tcPr>
            <w:tcW w:type="dxa" w:w="1656"/>
            <w:vAlign w:val="center"/>
            <w:tcMar>
              <w:top w:w="90" w:type="dxa"/>
              <w:left w:w="95" w:type="dxa"/>
              <w:bottom w:w="90" w:type="dxa"/>
              <w:right w:w="95" w:type="dxa"/>
            </w:tcMar>
          </w:tcPr>
          <w:p>
            <w:pPr>
              <w:keepNext/>
              <w:spacing w:after="0" w:line="245" w:lineRule="auto"/>
              <w:jc w:val="center"/>
            </w:pPr>
            <w:r>
              <w:rPr>
                <w:rFonts w:ascii="Calibri" w:hAnsi="Calibri"/>
                <w:sz w:val="20"/>
              </w:rPr>
              <w:t>None</w:t>
            </w:r>
          </w:p>
        </w:tc>
      </w:tr>
      <w:tr>
        <w:trPr>
          <w:cantSplit/>
        </w:trPr>
        <w:tc>
          <w:tcPr>
            <w:tcW w:type="dxa" w:w="1728"/>
            <w:vAlign w:val="center"/>
            <w:tcMar>
              <w:top w:w="90" w:type="dxa"/>
              <w:left w:w="95" w:type="dxa"/>
              <w:bottom w:w="90" w:type="dxa"/>
              <w:right w:w="95" w:type="dxa"/>
            </w:tcMar>
            <w:shd w:fill="F2F5F7"/>
          </w:tcPr>
          <w:p>
            <w:pPr>
              <w:keepNext w:val="0"/>
              <w:spacing w:after="0" w:line="245" w:lineRule="auto"/>
            </w:pPr>
            <w:r>
              <w:rPr>
                <w:rFonts w:ascii="Calibri" w:hAnsi="Calibri"/>
                <w:sz w:val="20"/>
              </w:rPr>
              <w:t>Annual</w:t>
            </w:r>
          </w:p>
        </w:tc>
        <w:tc>
          <w:tcPr>
            <w:tcW w:type="dxa" w:w="2880"/>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8760 hours or 365 days</w:t>
            </w:r>
          </w:p>
        </w:tc>
        <w:tc>
          <w:tcPr>
            <w:tcW w:type="dxa" w:w="3816"/>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INR 1499</w:t>
            </w:r>
          </w:p>
        </w:tc>
        <w:tc>
          <w:tcPr>
            <w:tcW w:type="dxa" w:w="1656"/>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None</w:t>
            </w:r>
          </w:p>
        </w:tc>
      </w:tr>
    </w:tbl>
    <w:p>
      <w:pPr>
        <w:spacing w:after="40" w:before="0" w:line="60" w:lineRule="exact"/>
      </w:pPr>
    </w:p>
    <w:p>
      <w:r>
        <w:t>These preserve the proposed prices. Use tax-inclusive consumer totals if GST is applicable; obtain the actual classification and invoicing treatment from the accountant. Do not apply an extra hidden charge in checkout. Fixed hours avoid calendar-month and leap-year ambiguity. Duration runs continuously after activation, including when offline. Additional purchases append time; they do not multiply feature levels or restart an unexpired plan.</w:t>
      </w:r>
    </w:p>
    <w:p>
      <w:r>
        <w:t>Build and test all plans. The annual offer produces much less revenue per covered month than repeated thirty-day purchases; enable it publicly only after the unit-economics review. The public plan list and checkout must come from the same enabled, versioned catalog. Price changes never alter earlier orders or granted duration.</w:t>
      </w:r>
    </w:p>
    <w:p>
      <w:pPr>
        <w:pStyle w:val="Heading2"/>
      </w:pPr>
      <w:r>
        <w:t>12.2 Gateway decision and merchant approval</w:t>
      </w:r>
    </w:p>
    <w:p>
      <w:r>
        <w:t>Seek Cashfree approval first and integrate one gateway only. Its standard domestic planning fee is 1.95 percent plus GST on that fee; Razorpay is 2 percent plus fee GST. At an assumed 18 percent fee GST, the difference is INR 59 per INR 100000 collected. Approval, supported checkout fields, settlement and refund support matter more than this small saving. Do not base annual economics on temporary promotional pricing. [S15, S21]</w:t>
      </w:r>
    </w:p>
    <w:p>
      <w:r>
        <w:t>Razorpay terms explicitly include friend finders and references to web-based telephony/online matchmaking in prohibited-business provisions. Cashfree's published list is not proof of acceptance. Obtain written underwriting acceptance for pseudonymous guests, random text, mutual friends, relay-only audio and paid gender preferences. Do not conceal or reclassify these features. Keep the provider interface small; implement an alternative only if needed and approved. Live payments remain disabled until acceptance, without silently deleting any planned feature. [S22, S23]</w:t>
      </w:r>
    </w:p>
    <w:p>
      <w:r>
        <w:t>Cashfree's create-order contract can require a customer phone field while email can be omitted. Confirm the provider-approved flow before integration. Normal NoTitle registration remains phone/email-free; any genuine payment-only data requirement is disclosed at checkout and is never exposed to peers. Do not invent customer contact data. Omit optional email and verify provider notification settings; NoTitle sending no email does not imply a bank or gateway sends no messages. [S24]</w:t>
      </w:r>
    </w:p>
    <w:p>
      <w:pPr>
        <w:pStyle w:val="Heading2"/>
      </w:pPr>
      <w:r>
        <w:t>12.3 Order creation and payment confirmation</w:t>
      </w:r>
    </w:p>
    <w:p>
      <w:r>
        <w:t>1. A signed-in account selects an enabled plan and submits an idempotency key. The server loads an immutable price, currency, tax and duration snapshot. Money is integer paise internally; never trust a browser amount or role.</w:t>
      </w:r>
    </w:p>
    <w:p>
      <w:r>
        <w:t>2. Commit an internal purchase intent, then create the provider order with a stable merchant order reference and the provider's supported idempotency key. Use hosted checkout and ordinary settlement. Keep test/live credentials and references separate.</w:t>
      </w:r>
    </w:p>
    <w:p>
      <w:r>
        <w:t>3. Store the provider order identifier and checkout session reference before returning checkout configuration. On timeout, reconcile the same merchant reference. Do not issue a new order blindly while the outcome is unknown. One order can have multiple distinct payment attempts.</w:t>
      </w:r>
    </w:p>
    <w:p>
      <w:r>
        <w:t>4. The frontend launches the hosted checkout and returns to Payment processing. It then reads NoTitle's authenticated payment status endpoint. A redirect, SDK success flag or client payload never grants Premium.</w:t>
      </w:r>
    </w:p>
    <w:p>
      <w:r>
        <w:t>5. For Cashfree, fetch the order/payment state server-side and validate the successful payment, exact order association, merchant/environment, INR amount and immutable original purchase snapshot, even if the plan has since been disabled or renamed. Treat payment_status SUCCESS as the relevant success status under the pinned API; failed or pending attempts cannot revoke an earlier valid success. Use the gateway SDK or official signature verification for incoming webhooks. [S24, S25]</w:t>
      </w:r>
    </w:p>
    <w:p>
      <w:r>
        <w:t>6. The verified return path, webhook worker and reconciler all call the same transactional grant routine. Lock the account balance and enforce unique successful-purchase and payment identifiers. Record the attempt and grant exactly one duration lot before publishing Premium active.</w:t>
      </w:r>
    </w:p>
    <w:p>
      <w:r>
        <w:t>7. If two genuine successes occur unexpectedly for one purchase, grant once and open a duplicate-payment/refund case. If a deleted account receives late success, resolve the financial obligation without recreating the identity.</w:t>
      </w:r>
    </w:p>
    <w:p>
      <w:r>
        <w:t>8. Provide an in-account receipt with price/tax details as applicable, paid time, plan, purchase reference, duration and current entitlement. No email service, subscription mandate, recurring debit, paid instant settlement or card-data storage is added.</w:t>
      </w:r>
    </w:p>
    <w:p>
      <w:pPr>
        <w:pStyle w:val="Heading2"/>
      </w:pPr>
      <w:r>
        <w:t>12.4 Webhooks and reconciliation</w:t>
      </w:r>
    </w:p>
    <w:p>
      <w:r>
        <w:t>Verify the signature using the pinned Cashfree SDK over the exact raw request body and documented timestamp/header inputs before parsing or trusting it. A Razorpay adapter, if selected later, has different signature rules and must implement its own tests. Bound body size and key-rotation behavior; never reserialize JSON for verification. Store a verified event in a durable inbox before acknowledging it. Return a retryable failure if durable ingestion fails. [S25, S34]</w:t>
      </w:r>
    </w:p>
    <w:p>
      <w:r>
        <w:t>Deduplicate at the provider delivery/event level using its documented identifiers and at the business level using provider payment ID plus environment and the unique grant constraint. For Cashfree, retain each cf_payment_id attempt and grant only a verified SUCCESS. If a webhook lacks a stable delivery ID, store a deterministic delivery fingerprint while keeping payment/business idempotency authoritative. Do not equate several attempts with several purchases.</w:t>
      </w:r>
    </w:p>
    <w:p>
      <w:r>
        <w:t>Workers process outside the matchmaking coordinator, with bounded leases, retries and a dead-letter review queue. Events may duplicate, arrive out of order or precede browser return. A return-page read can remain Processing until the transaction commits. Start a stuck/unknown-order reconciliation cycle every five minutes and alert if a known successful payment remains ungranted for five minutes. Compare successful payments, grants, refunds, disputes, fees and settlements automatically each day, with weekly operator review and immediate review of exceptions. Include refunds initiated from the provider dashboard.</w:t>
      </w:r>
    </w:p>
    <w:p>
      <w:r>
        <w:t>An expired local checkout can still result in a valid late payment; decide and record grant or refund. Unknown order association goes to restricted review. Never guess the account from an amount, phone number or screenshot. Preserve required financial references after account deletion. No external provider request runs while holding the live matchmaking coordinator.</w:t>
      </w:r>
    </w:p>
    <w:p>
      <w:pPr>
        <w:pStyle w:val="Heading2"/>
      </w:pPr>
      <w:r>
        <w:t>12.5 Deterministic entitlement accounting</w:t>
      </w:r>
    </w:p>
    <w:p>
      <w:r>
        <w:t>Under an account row lock, first account for elapsed wall-clock Premium time since the last checkpoint. Consume the oldest available lot first, capped by the account's remaining duration. Append a captured purchase as a new lot. Compute expiry as now plus the total remaining duration. This implements max of now and prior expiry plus new duration, while preserving the origin of every remaining second.</w:t>
      </w:r>
    </w:p>
    <w:p>
      <w:r>
        <w:t>Store monotonically ordered grant/adjustment events and an accounting checkpoint so rebuilding a projection gives the same result. A worker accounts for expiration, but every queue join and match commit also checks time directly. Do not make eligibility depend on a cron job having run. Use UTC for paid time and monotonic clocks for short process-local deadlines. Large clock drift makes the service unready until corrected.</w:t>
      </w:r>
    </w:p>
    <w:p>
      <w:r>
        <w:t>Example: a seven-day lot has two days remaining and a new thirty-day lot is added. The account has thirty-two days remaining. If the new unused lot is fully refunded, remove its thirty days and preserve the original two. If an older lot has already been consumed, a refund of that lot does not consume an unrelated later purchase or create negative duration.</w:t>
      </w:r>
    </w:p>
    <w:p>
      <w:pPr>
        <w:pStyle w:val="Heading2"/>
      </w:pPr>
      <w:r>
        <w:t>12.6 Refund and dispute policy</w:t>
      </w:r>
    </w:p>
    <w:p>
      <w:r>
        <w:t>Proposed commercial policy: correct duplicate captures and undelivered access; allow an unused purchase to be refunded within 24 hours; review service-failure and statutory claims even when access was used. Define unused as no use of paid matching controls attributable to that purchase, recorded with a minimal usage flag rather than a conversation log. A future stacked lot is unconsumed. Counsel must approve the final policy, and legal rights override restrictive wording.</w:t>
      </w:r>
    </w:p>
    <w:p>
      <w:r>
        <w:t>An authorized billing operator verifies the original capture, refundable balance, eligibility and selected entitlement treatment. Create a refund request with an idempotency key and audit record before calling the provider. For a full refund, hold that lot's remaining duration while the refund is pending. If the refund definitively fails, restore the held unused seconds from the resolution time and audit the compensation; do not silently lose time during the hold. Unknown provider outcomes remain pending and are reconciled before retry.</w:t>
      </w:r>
    </w:p>
    <w:p>
      <w:r>
        <w:t>On a confirmed full refund, revoke only that lot's unused duration. Previously consumed time remains recorded. For partial service compensation, default to a money-only adjustment; any duration reduction must be explicitly approved and previewed in seconds. This avoids guessing a price-to-duration mapping across stacked plans. Never automatically subtract money divided by a plan rate from total expiry. Unique provider refund IDs prevent duplicate adjustments.</w:t>
      </w:r>
    </w:p>
    <w:p>
      <w:r>
        <w:t>Refund to the original payment instrument through the approved provider whenever supported. Distinguish refund initiated, provider processed and actual bank credit. Cashfree documents a six-month refund window and its terms refer to 180 days; annual service can outlast that window. Before enabling the annual plan, obtain an approved process for valid later refunds, with ownership checks, an audited alternate transfer where permitted and no duplicate payment. Do not fabricate refund success or assume every annual purchase can be refunded through the same API. Budget original processing fees conservatively as potentially non-refundable. [S05, S23, S26]</w:t>
      </w:r>
    </w:p>
    <w:p>
      <w:r>
        <w:t>A dispute or chargeback creates a separate case with response deadline. Restrict only the disputed access according to policy, preserve the ledger and review account safety separately. Do not delete payment history or automatically ban all complainants. Settlement reconciliation must account for fees that may not be returned on refunds.</w:t>
      </w:r>
    </w:p>
    <w:p>
      <w:pPr>
        <w:pStyle w:val="Heading1"/>
        <w:pageBreakBefore w:val="0"/>
      </w:pPr>
      <w:r>
        <w:t>13 Security privacy and Indian compliance</w:t>
      </w:r>
    </w:p>
    <w:p>
      <w:pPr>
        <w:pStyle w:val="Heading2"/>
      </w:pPr>
      <w:r>
        <w:t>13.1 Security baseline</w:t>
      </w:r>
    </w:p>
    <w:p>
      <w:r>
        <w:t>Use opaque 256-bit session tokens and store only verifiers. Set __Host-session with Secure, HttpOnly, SameSite=Lax and Path=/, without Domain. A registered-session default is a seven-day idle expiry and thirty-day absolute expiry; require recent authentication for sensitive operations. Rotate on login, recovery and privilege changes. Rate-limit before expensive password hashing and cap concurrent hashing work so login abuse cannot exhaust the shared database host.</w:t>
      </w:r>
    </w:p>
    <w:p>
      <w:r>
        <w:t>Use same-origin APIs, explicit Origin checking, CSRF tokens, parameterized SQL, object-level authorization, typed validation, request/body/time limits and bounded database pools. Start a restrictive CSP and allow checkout resources only as required by the pinned integration. Prevent framing, limit referrer disclosure and restrict microphone permission to the intended origin. Sensitive responses use no-store, and Cloudflare cache rules bypass APIs, authenticated content and payment state.</w:t>
      </w:r>
    </w:p>
    <w:p>
      <w:r>
        <w:t>Cloudflare applies WAF rules to the opening WebSocket request but does not inspect subsequent messages. Go must enforce event authorization, limits and abuse handling after upgrade. [S06]</w:t>
      </w:r>
    </w:p>
    <w:p>
      <w:r>
        <w:t>Run containers with least privilege, no public Docker socket, no privileged application container, read-only filesystems where practical and no exposed database, metrics, profiler or admin port. SSH uses keys and restricted operator access. Keep secrets out of Git, images and logs; separate test/live keys and protect backup decryption keys independently. Verify database ports from an external network, including container port-publishing behavior that may bypass host firewall assumptions.</w:t>
      </w:r>
    </w:p>
    <w:p>
      <w:r>
        <w:t>Apply temporary session/network throttles, progressive Next/call cooldowns, adaptive challenges and registration limits. Do not permanently ban a shared office or mobile-carrier IP from a single report. Bound every map, queue, socket, report draft and provider retry. Fail gracefully at capacity and continue offering Report/Block where possible. Build kill switches for new matches, calls, purchases and registration; keep grievances reachable during ordinary maintenance.</w:t>
      </w:r>
    </w:p>
    <w:p>
      <w:pPr>
        <w:pStyle w:val="Heading2"/>
      </w:pPr>
      <w:r>
        <w:t>13.2 Honest privacy notices</w:t>
      </w:r>
    </w:p>
    <w:p>
      <w:r>
        <w:t>Peers see only Display Name or a session pseudonym, the required self-declared M / F / Other gender label, selected topic and optional Bio. Explain this visibility before the required selection; no identity document or proof of gender is requested. Private username, account ID, preferences, Premium status, payment details and professional profile are excluded. An accepted friend receives a relationship handle, not a public account identifier.</w:t>
      </w:r>
    </w:p>
    <w:p>
      <w:r>
        <w:t>The service and its processors necessarily handle network and security information. Cloudflare, the application host, S3, TURN and the approved gateway have different data visibility. Core hosting in India does not prove that every edge or payment-processing operation stays in India. Document processors, purposes, international processing where applicable, access controls and contractual safeguards.</w:t>
      </w:r>
    </w:p>
    <w:p>
      <w:r>
        <w:t>Use Anonymous to the people you meet as a qualified positioning statement. Explain self-declaration, the server-readable text relay, user-initiated report evidence, possible lawful disclosures and the possibility of screenshots or external recording. No claims of being untraceable or guaranteed anonymous from infrastructure.</w:t>
      </w:r>
    </w:p>
    <w:p>
      <w:pPr>
        <w:pStyle w:val="Heading2"/>
      </w:pPr>
      <w:r>
        <w:t>13.3 Legal response requirements</w:t>
      </w:r>
    </w:p>
    <w:p>
      <w:r>
        <w:t>Have qualified Indian counsel confirm intermediary classification and the applicable launch-date rule set. The February 2026 consolidated IT Rules specify general grievance acknowledgement within 24 hours and resolution within seven days; specified removal complaints have a 36-hour deadline, qualifying intimate-content/impersonation complaints require reasonable and practicable measures to remove or disable access within two hours, and valid court/government takedown directions a three-hour deadline. Certain removed information and registration information after cancellation carry 180-day preservation duties. These are category-specific requirements, not one universal timer. [S07]</w:t>
      </w:r>
    </w:p>
    <w:p>
      <w:r>
        <w:t>Create a versioned legal deadline table with trigger, category, effective date, legal source, due time, responsible officer and escalation schedule. Preserve original receipt time across retries and staff reassignment. Urgent cases page an on-call person immediately, with a backup escalation if unacknowledged. A general seven-day queue must never swallow a two-hour case. Preserve the minimum available evidence and record action taken even when live content has already expired.</w:t>
      </w:r>
    </w:p>
    <w:p>
      <w:r>
        <w:t>Publish the operator identity, required address/contact details, Grievance Officer and complaint/appeal process. Provide a rate-limited public complaint form without login. Return a case reference plus an unguessable status secret; show acknowledgement and human responses in the protected case page. Authenticated users also see their cases in-app. Losing a guest session must not destroy complaint access. Do not require an email address for ordinary registration, recovery or support. A legally required incoming address can be monitored by the operator without an application email provider; any legally required response channel must be resolved in the launch review.</w:t>
      </w:r>
    </w:p>
    <w:p>
      <w:r>
        <w:t>CERT-In's directions include reporting specified cyber incidents within six hours of noticing them, maintaining ICT logs for 180 days within India, time synchronization and a designated point of contact. Classify incidents using the official directions and FAQ rather than treating every application error as reportable. [S08]</w:t>
      </w:r>
    </w:p>
    <w:p>
      <w:r>
        <w:t>Where the intermediary rules apply, deliver the required periodic reminder about consequences of rule violations at least once every three months through an in-app notice. Keep a version, audience, delivery time and acknowledgement where applicable; show current notices when a returning or new guest enters. Do not create a durable guest account merely to track reminders. Counsel must approve the timing and proof for temporary identities. This workflow uses no outgoing email. [S07]</w:t>
      </w:r>
    </w:p>
    <w:p>
      <w:pPr>
        <w:pStyle w:val="Heading2"/>
      </w:pPr>
      <w:r>
        <w:t>13.4 The unresolved retention dependency</w:t>
      </w:r>
    </w:p>
    <w:p>
      <w:r>
        <w:t>The notified DPDP Rules have phased commencement. Rule 4 follows a one-year period; Rules 3, 5–16, 22 and 23 follow eighteen months from publication, with wording corrected by the December 2025 corrigendum. Rules 6(1)(e) and 8(3) include one-year retention provisions involving personal data and processing logs/traffic data. It is unsafe to assume these mean security logs only or that all duties were already active on 9 October 2026. [S09, S10]</w:t>
      </w:r>
    </w:p>
    <w:p>
      <w:r>
        <w:t>Before launch, counsel must map these provisions and the Act's commencement notifications to NoTitle's actual flows, including transient text, relay traffic, guest data, account deletion and reports. Record exact effective dates and any later notifications. The business owner must approve the resulting privacy promise and retention matrix.</w:t>
      </w:r>
    </w:p>
    <w:p>
      <w:r>
        <w:t>Engineering resolution: make retention purpose-specific and versioned from the start. Keep user-visible history disabled. The baseline ordinary-text path stays memory-only unless a reviewed legal requirement authorizes and requires a separate restricted retention path. If applicable law requires preserving content, do not switch on hidden archival storage: revise notices, consent where required, architecture, access controls, deletion schedules and costs before releasing that mode. If that would conflict with the approved product promise, delay public launch or revise the product. Legal retention is a launch dependency with an owner, not a guessed technical setting.</w:t>
      </w:r>
    </w:p>
    <w:p>
      <w:pPr>
        <w:pStyle w:val="Heading2"/>
      </w:pPr>
      <w:r>
        <w:t>13.5 Retention and deletion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52"/>
        <w:gridCol w:w="3852"/>
      </w:tblGrid>
      <w:tr>
        <w:trPr>
          <w:cantSplit/>
          <w:tblHeader/>
        </w:trPr>
        <w:tc>
          <w:tcPr>
            <w:tcW w:type="dxa" w:w="23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Data class</w:t>
            </w:r>
          </w:p>
        </w:tc>
        <w:tc>
          <w:tcPr>
            <w:tcW w:type="dxa" w:w="3852"/>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Proposed lifecycle</w:t>
            </w:r>
          </w:p>
        </w:tc>
        <w:tc>
          <w:tcPr>
            <w:tcW w:type="dxa" w:w="3852"/>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Required control</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Ordinary text</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Memory buffer; purge at end or 25-second reconnect expiry, subject to reviewed legal requirements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No payload logs, disk caches, crash dumps or transcript backups</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Report draft</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At most two minutes from Report Begin</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Hard count/byte cap; purge on abandonment</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Audio</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Relay transit; no product recording</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Encrypted media; bounded allocations; legal review of traffic obligations</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Guest state and friend links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Guest TTL; accepted links end when either guest identity ends or expires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Purge reverse indexes and invalidate handles; no durable guest account. Separate lawful safety retention where required</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Pending friend requests and invitations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Request or interaction deadline; no offline queue</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Registration never implies acceptance; remove on end, Block or identity expiry</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Recent-pair state</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Five minutes maximum in RAM</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No durable pair history for ranking</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Active account and durable friendship</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Until removal/deletion; friendship requires two accounts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Immediate access revocation and relationship cleanup; promote guest links only after commit</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Registration and removed-content records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Applicable statutory preservation, including reviewed 180-day triggers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Separate restricted retention records and legal holds</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Case evidence and grievances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Proposed 90 days after closure unless a longer legal rule/hold applies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Per-record retention_until, reason and purge audit; apply statutory minima</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ICT security logs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At least the applicable 180-day India-based period; revise for other applicable rules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Restricted access, integrity checks and scheduled expiry</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Financial records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Accountant/counsel-approved statutory and dispute schedule</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No card secrets; audited access; deletion cannot destroy required books</w:t>
            </w:r>
          </w:p>
        </w:tc>
      </w:tr>
      <w:tr>
        <w:trPr>
          <w:cantSplit/>
        </w:trPr>
        <w:tc>
          <w:tcPr>
            <w:tcW w:type="dxa" w:w="2376"/>
            <w:vAlign w:val="center"/>
            <w:tcMar>
              <w:top w:w="90" w:type="dxa"/>
              <w:left w:w="95" w:type="dxa"/>
              <w:bottom w:w="90" w:type="dxa"/>
              <w:right w:w="95" w:type="dxa"/>
            </w:tcMar>
            <w:shd w:fill="F2F5F7"/>
          </w:tcPr>
          <w:p>
            <w:pPr>
              <w:keepNext w:val="0"/>
              <w:spacing w:after="0" w:line="245" w:lineRule="auto"/>
            </w:pPr>
            <w:r>
              <w:rPr>
                <w:rFonts w:ascii="Calibri" w:hAnsi="Calibri"/>
                <w:sz w:val="20"/>
              </w:rPr>
              <w:t>Database backups</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Initial 30-day recovery window, with longer retention only for a defined purpose</w:t>
            </w:r>
          </w:p>
        </w:tc>
        <w:tc>
          <w:tcPr>
            <w:tcW w:type="dxa" w:w="3852"/>
            <w:vAlign w:val="center"/>
            <w:tcMar>
              <w:top w:w="90" w:type="dxa"/>
              <w:left w:w="95" w:type="dxa"/>
              <w:bottom w:w="90" w:type="dxa"/>
              <w:right w:w="95" w:type="dxa"/>
            </w:tcMar>
            <w:shd w:fill="F2F5F7"/>
          </w:tcPr>
          <w:p>
            <w:pPr>
              <w:keepNext w:val="0"/>
              <w:spacing w:after="0" w:line="245" w:lineRule="auto"/>
            </w:pPr>
            <w:r>
              <w:rPr>
                <w:rFonts w:ascii="Calibri" w:hAnsi="Calibri"/>
                <w:sz w:val="20"/>
              </w:rPr>
              <w:t>Encrypted, lifecycle-managed; reapply deletion ledger after restore</w:t>
            </w:r>
          </w:p>
        </w:tc>
      </w:tr>
      <w:tr>
        <w:trPr>
          <w:cantSplit/>
        </w:trPr>
        <w:tc>
          <w:tcPr>
            <w:tcW w:type="dxa" w:w="2376"/>
            <w:vAlign w:val="center"/>
            <w:tcMar>
              <w:top w:w="90" w:type="dxa"/>
              <w:left w:w="95" w:type="dxa"/>
              <w:bottom w:w="90" w:type="dxa"/>
              <w:right w:w="95" w:type="dxa"/>
            </w:tcMar>
          </w:tcPr>
          <w:p>
            <w:pPr>
              <w:keepNext w:val="0"/>
              <w:spacing w:after="0" w:line="245" w:lineRule="auto"/>
            </w:pPr>
            <w:r>
              <w:rPr>
                <w:rFonts w:ascii="Calibri" w:hAnsi="Calibri"/>
                <w:sz w:val="20"/>
              </w:rPr>
              <w:t>Aggregated metrics</w:t>
            </w:r>
          </w:p>
        </w:tc>
        <w:tc>
          <w:tcPr>
            <w:tcW w:type="dxa" w:w="3852"/>
            <w:vAlign w:val="center"/>
            <w:tcMar>
              <w:top w:w="90" w:type="dxa"/>
              <w:left w:w="95" w:type="dxa"/>
              <w:bottom w:w="90" w:type="dxa"/>
              <w:right w:w="95" w:type="dxa"/>
            </w:tcMar>
          </w:tcPr>
          <w:p>
            <w:pPr>
              <w:keepNext w:val="0"/>
              <w:spacing w:after="0" w:line="245" w:lineRule="auto"/>
              <w:jc w:val="center"/>
            </w:pPr>
            <w:r>
              <w:rPr>
                <w:rFonts w:ascii="Calibri" w:hAnsi="Calibri"/>
                <w:sz w:val="20"/>
              </w:rPr>
              <w:t>Initial 13 months</w:t>
            </w:r>
          </w:p>
        </w:tc>
        <w:tc>
          <w:tcPr>
            <w:tcW w:type="dxa" w:w="3852"/>
            <w:vAlign w:val="center"/>
            <w:tcMar>
              <w:top w:w="90" w:type="dxa"/>
              <w:left w:w="95" w:type="dxa"/>
              <w:bottom w:w="90" w:type="dxa"/>
              <w:right w:w="95" w:type="dxa"/>
            </w:tcMar>
          </w:tcPr>
          <w:p>
            <w:pPr>
              <w:keepNext w:val="0"/>
              <w:spacing w:after="0" w:line="245" w:lineRule="auto"/>
            </w:pPr>
            <w:r>
              <w:rPr>
                <w:rFonts w:ascii="Calibri" w:hAnsi="Calibri"/>
                <w:sz w:val="20"/>
              </w:rPr>
              <w:t>No direct identifiers; minimum cohort sizes</w:t>
            </w:r>
          </w:p>
        </w:tc>
      </w:tr>
    </w:tbl>
    <w:p>
      <w:pPr>
        <w:spacing w:after="40" w:before="0" w:line="60" w:lineRule="exact"/>
      </w:pPr>
    </w:p>
    <w:p>
      <w:r>
        <w:t>The production validator rejects an incomplete retention matrix, missing legal sources/effective dates, missing financial retention settings or unmanaged legal holds. Do not retain all records indefinitely because a field is unset. Holds need a reason, authorized approver, review date and release workflow.</w:t>
      </w:r>
    </w:p>
    <w:p>
      <w:r>
        <w:t>Provide authenticated access/correction/deletion and privacy-request routes, including a safe way to retrieve required receipts after account closure. A data export must not expose another participant's private profile, reporter identity or unrestricted case evidence. Age self-attestation is not verification: restrict suspected underage access and have counsel assess additional proportionate age assurance before launch. Do not collect Aadhaar or other government identifiers casually to compensate for this uncertainty.</w:t>
      </w:r>
    </w:p>
    <w:p>
      <w:pPr>
        <w:pStyle w:val="Heading1"/>
      </w:pPr>
      <w:r>
        <w:t>14 Infrastructure deployment and disaster recovery</w:t>
      </w:r>
    </w:p>
    <w:p>
      <w:pPr>
        <w:pStyle w:val="Heading2"/>
      </w:pPr>
      <w:r>
        <w:t>14.1 Production topology</w:t>
      </w:r>
    </w:p>
    <w:p>
      <w:r>
        <w:t>Start validation with DigitalOcean Bangalore Regular Basic VMs: 2 vCPU / 4 GiB for the application and PostgreSQL, and 1 vCPU / 1 GiB for TURN. Retain public IPv4 for broad connectivity. Store encrypted recovery data, independent deletion/hold journals and required security logs in S3 Mumbai. Use Cloudflare Free for DNS and web proxying with strict origin TLS. This single application host has an outage/recovery tradeoff. Upgrade before launch if the combined 200-connected / 25-call tests do not pass. [S11, S17]</w:t>
      </w:r>
    </w:p>
    <w:p>
      <w:r>
        <w:t>Canonical website A/AAAA records are proxied; TURN uses a DNS-only hostname and dedicated public IP. Redirect the alternate website host. Enable DNSSEC and restrictive CAA where compatible with certificate issuance; publish IPv6 only if fully tested. Use Full strict edge-to-origin TLS and restrict origin ingress to trusted proxy ranges plus operator access. No SMTP credentials, outbound mail server or user-email provider is provisioned. A published incoming legal/business contact address, where required, is separate from application email sending.</w:t>
      </w:r>
    </w:p>
    <w:p>
      <w:r>
        <w:t>Compose services have explicit networks, resource budgets, health checks, restart policy, rotated logs and durable PostgreSQL storage. The backup job has separate credentials and no ability to read ordinary chat memory. TURN uses a host/network layout proven for UDP; map the public address and relay ports correctly. Store relay certificates securely and reload them before expiry. The relay control channel uses private networking plus authentication. A watchdog stops coturn if its lease supervisor fails, so losing the supervisor cannot leave uncontrolled calls running.</w:t>
      </w:r>
    </w:p>
    <w:p>
      <w:pPr>
        <w:pStyle w:val="Heading2"/>
      </w:pPr>
      <w:r>
        <w:t>14.2 Delivery pipeline</w:t>
      </w:r>
    </w:p>
    <w:p>
      <w:pPr>
        <w:keepNext/>
        <w:ind w:left="259" w:hanging="259"/>
      </w:pPr>
      <w:r>
        <w:t>1. Pull request runs backend checks, meaningful tests, migration checks, frontend type/build checks, protocol compatibility, dependency/secret scans and targeted browser tests.</w:t>
      </w:r>
    </w:p>
    <w:p>
      <w:pPr>
        <w:keepNext w:val="0"/>
        <w:ind w:left="259" w:hanging="259"/>
      </w:pPr>
      <w:r>
        <w:t>2. Build immutable versioned images and static assets; retain checksums, source commit, dependency manifest and release notes. Do not build on the production host.</w:t>
      </w:r>
    </w:p>
    <w:p>
      <w:pPr>
        <w:keepNext w:val="0"/>
        <w:ind w:left="259" w:hanging="259"/>
      </w:pPr>
      <w:r>
        <w:t>3. Deploy to access-controlled staging using test keys; apply migrations with the migration role and run smoke, payment and cross-network voice checks.</w:t>
      </w:r>
    </w:p>
    <w:p>
      <w:pPr>
        <w:keepNext w:val="0"/>
        <w:ind w:left="259" w:hanging="259"/>
      </w:pPr>
      <w:r>
        <w:t>4. Before production, verify a fresh restorable recovery point, WAL archival health, required configuration and on-call coverage. Freeze destructive schema changes.</w:t>
      </w:r>
    </w:p>
    <w:p>
      <w:pPr>
        <w:keepNext w:val="0"/>
        <w:ind w:left="259" w:hanging="259"/>
      </w:pPr>
      <w:r>
        <w:t>5. Enter maintenance/drain mode: stop new queue entries, friend invitations, calls and purchases as needed; keep provider webhooks and grievances working when possible. Notify active participants of the restart deadline. Drain for up to two minutes, then end remaining interactions cleanly and revoke media.</w:t>
      </w:r>
    </w:p>
    <w:p>
      <w:pPr>
        <w:keepNext w:val="0"/>
        <w:ind w:left="259" w:hanging="259"/>
      </w:pPr>
      <w:r>
        <w:t>6. Apply backward-compatible migrations and deploy the new application and static bundle together. Keep the old release available. Permit only one authoritative matching process.</w:t>
      </w:r>
    </w:p>
    <w:p>
      <w:pPr>
        <w:keepNext w:val="0"/>
        <w:ind w:left="259" w:hanging="259"/>
      </w:pPr>
      <w:r>
        <w:t>7. Check readiness, login, two-browser chat, report/block, TURN credentials, payment status and job progress. Reopen traffic gradually while monitoring errors, backlog, memory and latency.</w:t>
      </w:r>
    </w:p>
    <w:p>
      <w:pPr>
        <w:keepNext w:val="0"/>
        <w:ind w:left="259" w:hanging="259"/>
      </w:pPr>
      <w:r>
        <w:t>8. If the release fails, disable risky features and roll back the application only to a schema-compatible version. Roll forward a schema fix when needed. Do not restore an old database merely to roll back code: that can lose captured payments and deletion events.</w:t>
      </w:r>
    </w:p>
    <w:p>
      <w:r>
        <w:t>Ordinary Compose deployment will interrupt RAM-only interactions. Do not claim zero-downtime or start two uncoordinated Go replicas behind a load balancer. Publish maintenance messaging and reconcile payments across the deploy window.</w:t>
      </w:r>
    </w:p>
    <w:p>
      <w:pPr>
        <w:pStyle w:val="Heading2"/>
      </w:pPr>
      <w:r>
        <w:t>14.3 Backup and restoration</w:t>
      </w:r>
    </w:p>
    <w:p>
      <w:r>
        <w:t>Use encrypted PostgreSQL full backups plus continuous WAL archiving with a configured flush/archive strategy that can meet a 15-minute RPO target. pgBackRest or an equivalently tested tool is suitable. Daily VM backups are optional convenience; they do not replace database-aware off-host recovery. Alert on the age of the last recoverable WAL point, not merely on a successful scheduled job.</w:t>
      </w:r>
    </w:p>
    <w:p>
      <w:r>
        <w:t>Initial recovery objectives are RPO no more than 15 minutes for ordinary durable changes and RTO four hours during staffed recovery, with a disclosed contingency up to 24 hours. These are targets to prove in drills, not contractual uptime promises. A separate deletion journal must be durable before deletion completion is acknowledged; payment-provider reconciliation repairs financial events after the restored database point.</w:t>
      </w:r>
    </w:p>
    <w:p>
      <w:r>
        <w:t>Restore procedure: provision a clean compatible host, restore full backup and WAL to the chosen point, apply the independently stored deletion/hold journal, revoke or rotate restored sessions, rebuild projections, reconcile provider captures/refunds, verify restrictions and only then reopen matching. Keep the service unavailable if the deletion journal is missing. Never reactivate deleted accounts, expired sessions or refunded access because they existed in a backup.</w:t>
      </w:r>
    </w:p>
    <w:p>
      <w:r>
        <w:t>Store encrypted recovery-key material independently and document access for a backup operator. Run a complete restore before launch, quarterly thereafter and after material backup changes. Include object-store denial, corrupted backup, full disk and lost-host exercises. Same-region backups protect against host failure but not every regional disaster; add a second India-region recovery copy when continuity needs justify its cost.</w:t>
      </w:r>
    </w:p>
    <w:p>
      <w:pPr>
        <w:pStyle w:val="Heading1"/>
      </w:pPr>
      <w:r>
        <w:t>15 Verification and measurable release gates</w:t>
      </w:r>
    </w:p>
    <w:p>
      <w:pPr>
        <w:pStyle w:val="Heading2"/>
      </w:pPr>
      <w:r>
        <w:t>15.1 Test strategy</w:t>
      </w:r>
    </w:p>
    <w:p>
      <w:r>
        <w:t>Use unit/property tests for domain invariants, integration tests with real PostgreSQL and migrations, Go race tests for state transitions, fuzzing for event parsing and frontend/browser tests for actual user journeys. Prefer tests that can catch a plausible failure; avoid snapshots that merely restate code. Test with a fake clock for expiry, retry, cooldown, legal deadline and duration-accounting logic.</w:t>
      </w:r>
    </w:p>
    <w:p>
      <w:r>
        <w:t>Security checks cover session fixation/revocation, CSRF, cross-origin WebSockets, account enumeration, unauthorized object access, reflected/stored XSS, oversize frames, floods, slow consumers, forged/stale epochs, payment forgery, admin privilege escalation, unsafe relay targets and untrusted proxy headers. Dependency scans supplement, rather than replace, these behavioral checks.</w:t>
      </w:r>
    </w:p>
    <w:p>
      <w:pPr>
        <w:pStyle w:val="Heading2"/>
      </w:pPr>
      <w:r>
        <w:t>15.2 Acceptance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Area</w:t>
            </w:r>
          </w:p>
        </w:tc>
        <w:tc>
          <w:tcPr>
            <w:tcW w:type="dxa" w:w="7776"/>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Required evidence</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Shared pool</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All Guest/Free/Premium combinations work; each identity appears once; no Premium-only partition exists.</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Gender</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Required selection for every tier; missing/invalid values and blank profile updates rejected. Mutual Male/Female/Other/Everyone truth table; expiry/refund/profile change cannot bypass either preference.</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Soft ranking</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Explicit No preference, per-category opt-out, General Talk and OR choices work. Professional bonus stays within 0.5 waiting-seconds and fades; sole compatible candidate matches immediately despite zero overlap. A preferred profession never defeats gender.</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Recent pairs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Four-second cooldown boundary, fast decay, only-candidate rematch and permanent block precedence.</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Concurrency</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Simultaneous Next, Block, Report, Delete, friend acceptance and call events; no double ownership or resurrected epoch.</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Identity</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Guest upgrade while peer leaves, account conflict, recovery code reuse, session rotation, takeover and logout-all.</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Text and reports</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Escape arbitrary text; bound UTF-8 bytes; dedupe only within the right epoch; purge normal messages; preserve only submitted evidence.</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Friends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Guest–Guest, Guest–Account and Account–Account add/invite/call work without forced registration. Reciprocal consent creates one link; TTL/restart clean guest links. Two registrations promote once; Remove/Block/expiry beats promotion.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Voice</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Chrome, Edge, Firefox and Safari including Android/iOS; two networks, cellular, restricted TCP/TLS; no non-relay address leakage in offer, answer or ICE.</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Voice enforcement</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Denied mic, glare, signaling loss, Next/Block/Delete, long-call credential refresh, stolen credential replay, supervisor/application failure and allocation cancellation.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Money</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Lost callback, duplicate/out-of-order events, several attempts per order, unknown provider outcome, amount mismatch, simultaneous captures and worker crash before/after commit.</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Refunds</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Stacked lots, partially consumed access, pending hold, failed refund restoration, full/partial treatment, dispute and late event after deletion.</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Operations</w:t>
            </w:r>
          </w:p>
        </w:tc>
        <w:tc>
          <w:tcPr>
            <w:tcW w:type="dxa" w:w="7776"/>
            <w:vAlign w:val="center"/>
            <w:tcMar>
              <w:top w:w="90" w:type="dxa"/>
              <w:left w:w="95" w:type="dxa"/>
              <w:bottom w:w="90" w:type="dxa"/>
              <w:right w:w="95" w:type="dxa"/>
            </w:tcMar>
          </w:tcPr>
          <w:p>
            <w:pPr>
              <w:keepNext w:val="0"/>
              <w:spacing w:after="0" w:line="245" w:lineRule="auto"/>
            </w:pPr>
            <w:r>
              <w:t>Evidence RBAC, appeals, urgent deadlines, operator-alert failure, retention expiry, legal hold release and operator audit.</w:t>
            </w:r>
          </w:p>
        </w:tc>
      </w:tr>
      <w:tr>
        <w:trPr>
          <w:cantSplit/>
        </w:trPr>
        <w:tc>
          <w:tcPr>
            <w:tcW w:type="dxa" w:w="2304"/>
            <w:vAlign w:val="center"/>
            <w:tcMar>
              <w:top w:w="90" w:type="dxa"/>
              <w:left w:w="95" w:type="dxa"/>
              <w:bottom w:w="90" w:type="dxa"/>
              <w:right w:w="95" w:type="dxa"/>
            </w:tcMar>
            <w:shd w:fill="F2F5F7"/>
          </w:tcPr>
          <w:p>
            <w:pPr>
              <w:keepNext w:val="0"/>
              <w:spacing w:after="0" w:line="245" w:lineRule="auto"/>
            </w:pPr>
            <w:r>
              <w:rPr>
                <w:rFonts w:ascii="Calibri" w:hAnsi="Calibri"/>
                <w:sz w:val="20"/>
              </w:rPr>
              <w:t>Recovery</w:t>
            </w:r>
          </w:p>
        </w:tc>
        <w:tc>
          <w:tcPr>
            <w:tcW w:type="dxa" w:w="7776"/>
            <w:vAlign w:val="center"/>
            <w:tcMar>
              <w:top w:w="90" w:type="dxa"/>
              <w:left w:w="95" w:type="dxa"/>
              <w:bottom w:w="90" w:type="dxa"/>
              <w:right w:w="95" w:type="dxa"/>
            </w:tcMar>
            <w:shd w:fill="F2F5F7"/>
          </w:tcPr>
          <w:p>
            <w:pPr>
              <w:keepNext w:val="0"/>
              <w:spacing w:after="0" w:line="245" w:lineRule="auto"/>
            </w:pPr>
            <w:r>
              <w:rPr>
                <w:rFonts w:ascii="Calibri" w:hAnsi="Calibri"/>
                <w:sz w:val="20"/>
              </w:rPr>
              <w:t>Kill app/database/relay, block provider network, fill disk, restore old backup, replay deletion journal and reconcile money without double grant.</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Responsive UX and SEO</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All Section 5.2 widths, orientation, resize, zoom and keyboard states; no clipping or horizontal page overflow. Guest/account entry, matching, text, audio, friends, Report/Block, Premium checkout and recovery work on real mobile devices and desktop. Screen-reader/keyboard paths, 404, initial public HTML, noindex, cache bypass and metadata pass.</w:t>
            </w:r>
          </w:p>
        </w:tc>
      </w:tr>
      <w:tr>
        <w:trPr>
          <w:cantSplit/>
        </w:trPr>
        <w:tc>
          <w:tcPr>
            <w:tcW w:type="dxa" w:w="2304"/>
            <w:vAlign w:val="center"/>
            <w:tcMar>
              <w:top w:w="90" w:type="dxa"/>
              <w:left w:w="95" w:type="dxa"/>
              <w:bottom w:w="90" w:type="dxa"/>
              <w:right w:w="95" w:type="dxa"/>
            </w:tcMar>
          </w:tcPr>
          <w:p>
            <w:pPr>
              <w:keepNext w:val="0"/>
              <w:spacing w:after="0" w:line="245" w:lineRule="auto"/>
            </w:pPr>
            <w:r>
              <w:rPr>
                <w:rFonts w:ascii="Calibri" w:hAnsi="Calibri"/>
                <w:sz w:val="20"/>
              </w:rPr>
              <w:t>Minimum capacity</w:t>
            </w:r>
          </w:p>
        </w:tc>
        <w:tc>
          <w:tcPr>
            <w:tcW w:type="dxa" w:w="7776"/>
            <w:vAlign w:val="center"/>
            <w:tcMar>
              <w:top w:w="90" w:type="dxa"/>
              <w:left w:w="95" w:type="dxa"/>
              <w:bottom w:w="90" w:type="dxa"/>
              <w:right w:w="95" w:type="dxa"/>
            </w:tcMar>
          </w:tcPr>
          <w:p>
            <w:pPr>
              <w:keepNext w:val="0"/>
              <w:spacing w:after="0" w:line="245" w:lineRule="auto"/>
            </w:pPr>
            <w:r>
              <w:rPr>
                <w:rFonts w:ascii="Calibri" w:hAnsi="Calibri"/>
                <w:sz w:val="20"/>
              </w:rPr>
              <w:t>Both six-hour 200-user/25-call mixed workloads pass with real media, background jobs and safety events; overload is refused cleanly. Upgrade and retest if the proposed hosts fail.</w:t>
            </w:r>
          </w:p>
        </w:tc>
      </w:tr>
    </w:tbl>
    <w:p>
      <w:pPr>
        <w:spacing w:after="40" w:before="0" w:line="60" w:lineRule="exact"/>
      </w:pPr>
    </w:p>
    <w:p>
      <w:r>
        <w:t>Use the selected gateway sandbox/test mode for normal development. A controlled live purchase, webhook, entitlement, refund and settlement check is a launch gate after merchant approval. It must be deliberately authorized and recorded; never label test-mode results as proof of live settlement.</w:t>
      </w:r>
    </w:p>
    <w:p>
      <w:pPr>
        <w:pStyle w:val="Heading2"/>
      </w:pPr>
      <w:r>
        <w:t>15.3 Mandatory launch capacity and performance</w:t>
      </w:r>
    </w:p>
    <w:p>
      <w:r>
        <w:t>Full V1 must support at least 200 connected participants while 25 established two-person audio calls carry real media. Initial admission limits are 200 connected, 100 waiting and 25 calls; these are overlapping subsets, not additive user counts. Calls use 50 of the 200 participants. With no one waiting, up to 100 conversation pairs can exist. The 2-vCPU / 4-GiB app and separate 1-GiB relay are proposed starting hardware, not measured capacity. Failure requires optimization or hardware upgrades and a passing retest, never a lower launch requirement.</w:t>
      </w:r>
    </w:p>
    <w:p>
      <w:r>
        <w:t>At admitted load, target p95 API processing below 300 milliseconds for ordinary requests, p95 server message-relay processing below 100 milliseconds and p95 matching within one second when a hard-compatible participant is already available. Exclude external-provider/network latency from server metrics and separately measure end-to-end user experience. For consented calls on supported working networks, target at least 95 percent connection success and p95 setup below ten seconds.</w:t>
      </w:r>
    </w:p>
    <w:p>
      <w:r>
        <w:t>Run at least six hours for each mixed workload: A, 100 waiting + 50 audio participants + 50 text participants; B, 50 audio + 150 text participants. Both total 200 with 25 concurrent calls. Include real audio, login/hash bursts, rapid Next, constrained gender distributions, guest friends, payment jobs, backups, reconnects and slow readers. Require stable memory with 25 percent headroom, bounded queues/goroutines, current authorization and no growing payment backlog. Then offer 400 connections and excess call attempts while admitting only tested limits: refuse the 201st participant, 101st queued participant and 26th call cleanly, preserving established sessions and safety events. Higher caps require new tests; bandwidth alone is insufficient.</w:t>
      </w:r>
    </w:p>
    <w:p>
      <w:r>
        <w:t>Target 99.5 percent monthly availability internally for early operations, without advertising an SLA. The single host and staffed-recovery limits may miss that target; if availability requirements are stricter, fund a different topology before making promises. No unresolved critical security or money-integrity issue can pass the release gate.</w:t>
      </w:r>
    </w:p>
    <w:p>
      <w:pPr>
        <w:pStyle w:val="Heading2"/>
      </w:pPr>
      <w:r>
        <w:t>15.4 Memory CPU and latency budgets</w:t>
      </w:r>
    </w:p>
    <w:p>
      <w:r>
        <w:t>Initial tuning values for the 4-GiB app host: PostgreSQL shared_buffers 256 MiB, work_mem 2 MiB, maintenance_work_mem 128 MiB, max_connections around 20, and application pool maximum 8. Reserve connections for jobs and emergency administration. Bound autovacuum memory/workers and backup concurrency. Query memory can multiply per operation/worker; connection count is not the only multiplier. Keep fsync and synchronous commit enabled for money and safety writes. Tune from measured results. [S28]</w:t>
      </w:r>
    </w:p>
    <w:p>
      <w:r>
        <w:t>The Go process budget includes socket/kernel overhead, active users, matching indexes, friend links and report buffers. Begin with at most two concurrent expensive password hashes and a small bounded queue on the 2-vCPU VM; benchmark Argon2id latency/memory before setting parameters. Reduce hashing concurrency if needed without reducing admitted service capacity. Reject abuse before hashing. Report/control events must remain responsive during authentication bursts.</w:t>
      </w:r>
    </w:p>
    <w:tbl>
      <w:tblPr>
        <w:tblW w:type="auto" w:w="0"/>
        <w:tblLayout w:type="fixed"/>
        <w:tblLook w:firstColumn="1" w:firstRow="1" w:lastColumn="0" w:lastRow="0" w:noHBand="0" w:noVBand="1" w:val="04A0"/>
      </w:tblPr>
      <w:tblGrid>
        <w:gridCol w:w="5040"/>
        <w:gridCol w:w="5040"/>
      </w:tblGrid>
      <w:tr>
        <w:trPr>
          <w:tblHeader/>
          <w:cantSplit/>
        </w:trPr>
        <w:tc>
          <w:tcPr>
            <w:tcW w:type="dxa" w:w="7200"/>
            <w:shd w:fill="17334A"/>
          </w:tcPr>
          <w:p>
            <w:pPr>
              <w:spacing w:after="100" w:before="80"/>
            </w:pPr>
            <w:r>
              <w:rPr>
                <w:b/>
                <w:color w:val="FFFFFF"/>
                <w:sz w:val="18"/>
              </w:rPr>
              <w:t>Application host component</w:t>
            </w:r>
          </w:p>
        </w:tc>
        <w:tc>
          <w:tcPr>
            <w:tcW w:type="dxa" w:w="2448"/>
            <w:shd w:fill="17334A"/>
          </w:tcPr>
          <w:p>
            <w:pPr>
              <w:spacing w:after="100" w:before="80"/>
            </w:pPr>
            <w:r>
              <w:rPr>
                <w:b/>
                <w:color w:val="FFFFFF"/>
                <w:sz w:val="18"/>
              </w:rPr>
              <w:t>Planning MiB</w:t>
            </w:r>
          </w:p>
        </w:tc>
      </w:tr>
      <w:tr>
        <w:trPr>
          <w:cantSplit/>
        </w:trPr>
        <w:tc>
          <w:tcPr>
            <w:tcW w:type="dxa" w:w="7200"/>
            <w:shd w:fill="F0F4F7"/>
          </w:tcPr>
          <w:p>
            <w:pPr>
              <w:spacing w:after="100" w:before="80"/>
            </w:pPr>
            <w:r>
              <w:rPr>
                <w:sz w:val="18"/>
              </w:rPr>
              <w:t>Linux, Caddy, runtime and baseline overhead</w:t>
            </w:r>
          </w:p>
        </w:tc>
        <w:tc>
          <w:tcPr>
            <w:tcW w:type="dxa" w:w="2448"/>
            <w:shd w:fill="F0F4F7"/>
          </w:tcPr>
          <w:p>
            <w:pPr>
              <w:spacing w:after="100" w:before="80"/>
            </w:pPr>
            <w:r>
              <w:rPr>
                <w:sz w:val="18"/>
              </w:rPr>
              <w:t>512</w:t>
            </w:r>
          </w:p>
        </w:tc>
      </w:tr>
      <w:tr>
        <w:trPr>
          <w:cantSplit/>
        </w:trPr>
        <w:tc>
          <w:tcPr>
            <w:tcW w:type="dxa" w:w="7200"/>
            <w:shd w:fill="FFFFFF"/>
          </w:tcPr>
          <w:p>
            <w:pPr>
              <w:spacing w:after="100" w:before="80"/>
            </w:pPr>
            <w:r>
              <w:rPr>
                <w:sz w:val="18"/>
              </w:rPr>
              <w:t>PostgreSQL envelope including working memory</w:t>
            </w:r>
          </w:p>
        </w:tc>
        <w:tc>
          <w:tcPr>
            <w:tcW w:type="dxa" w:w="2448"/>
            <w:shd w:fill="FFFFFF"/>
          </w:tcPr>
          <w:p>
            <w:pPr>
              <w:spacing w:after="100" w:before="80"/>
            </w:pPr>
            <w:r>
              <w:rPr>
                <w:sz w:val="18"/>
              </w:rPr>
              <w:t>1024</w:t>
            </w:r>
          </w:p>
        </w:tc>
      </w:tr>
      <w:tr>
        <w:trPr>
          <w:cantSplit/>
        </w:trPr>
        <w:tc>
          <w:tcPr>
            <w:tcW w:type="dxa" w:w="7200"/>
            <w:shd w:fill="F0F4F7"/>
          </w:tcPr>
          <w:p>
            <w:pPr>
              <w:spacing w:after="100" w:before="80"/>
            </w:pPr>
            <w:r>
              <w:rPr>
                <w:sz w:val="18"/>
              </w:rPr>
              <w:t>Go, connections and bounded live state</w:t>
            </w:r>
          </w:p>
        </w:tc>
        <w:tc>
          <w:tcPr>
            <w:tcW w:type="dxa" w:w="2448"/>
            <w:shd w:fill="F0F4F7"/>
          </w:tcPr>
          <w:p>
            <w:pPr>
              <w:spacing w:after="100" w:before="80"/>
            </w:pPr>
            <w:r>
              <w:rPr>
                <w:sz w:val="18"/>
              </w:rPr>
              <w:t>1024</w:t>
            </w:r>
          </w:p>
        </w:tc>
      </w:tr>
      <w:tr>
        <w:trPr>
          <w:cantSplit/>
        </w:trPr>
        <w:tc>
          <w:tcPr>
            <w:tcW w:type="dxa" w:w="7200"/>
            <w:shd w:fill="FFFFFF"/>
          </w:tcPr>
          <w:p>
            <w:pPr>
              <w:spacing w:after="100" w:before="80"/>
            </w:pPr>
            <w:r>
              <w:rPr>
                <w:sz w:val="18"/>
              </w:rPr>
              <w:t>Backup/job and authentication burst allowance</w:t>
            </w:r>
          </w:p>
        </w:tc>
        <w:tc>
          <w:tcPr>
            <w:tcW w:type="dxa" w:w="2448"/>
            <w:shd w:fill="FFFFFF"/>
          </w:tcPr>
          <w:p>
            <w:pPr>
              <w:spacing w:after="100" w:before="80"/>
            </w:pPr>
            <w:r>
              <w:rPr>
                <w:sz w:val="18"/>
              </w:rPr>
              <w:t>256</w:t>
            </w:r>
          </w:p>
        </w:tc>
      </w:tr>
      <w:tr>
        <w:trPr>
          <w:cantSplit/>
        </w:trPr>
        <w:tc>
          <w:tcPr>
            <w:tcW w:type="dxa" w:w="7200"/>
            <w:shd w:fill="F0F4F7"/>
          </w:tcPr>
          <w:p>
            <w:pPr>
              <w:spacing w:after="100" w:before="80"/>
            </w:pPr>
            <w:r>
              <w:rPr>
                <w:sz w:val="18"/>
              </w:rPr>
              <w:t>Headroom including reclaimable cache</w:t>
            </w:r>
          </w:p>
        </w:tc>
        <w:tc>
          <w:tcPr>
            <w:tcW w:type="dxa" w:w="2448"/>
            <w:shd w:fill="F0F4F7"/>
          </w:tcPr>
          <w:p>
            <w:pPr>
              <w:spacing w:after="100" w:before="80"/>
            </w:pPr>
            <w:r>
              <w:rPr>
                <w:sz w:val="18"/>
              </w:rPr>
              <w:t>1280</w:t>
            </w:r>
          </w:p>
        </w:tc>
      </w:tr>
      <w:tr>
        <w:trPr>
          <w:cantSplit/>
        </w:trPr>
        <w:tc>
          <w:tcPr>
            <w:tcW w:type="dxa" w:w="7200"/>
            <w:shd w:fill="FFFFFF"/>
          </w:tcPr>
          <w:p>
            <w:pPr>
              <w:spacing w:after="100" w:before="80"/>
            </w:pPr>
            <w:r>
              <w:rPr>
                <w:sz w:val="18"/>
              </w:rPr>
              <w:t>Total</w:t>
            </w:r>
          </w:p>
        </w:tc>
        <w:tc>
          <w:tcPr>
            <w:tcW w:type="dxa" w:w="2448"/>
            <w:shd w:fill="FFFFFF"/>
          </w:tcPr>
          <w:p>
            <w:pPr>
              <w:spacing w:after="100" w:before="80"/>
            </w:pPr>
            <w:r>
              <w:rPr>
                <w:sz w:val="18"/>
              </w:rPr>
              <w:t>4096</w:t>
            </w:r>
          </w:p>
        </w:tc>
      </w:tr>
    </w:tbl>
    <w:p>
      <w:r>
        <w:t>This is a planning partition, not measured resident memory or rigid simultaneous limits. Observe the whole host during backups and churn; do not cap PostgreSQL to shared_buffers alone. Keep at least 1024 MiB genuinely available under the admitted combined workload. Prefer no swap for content-handling processes and disable core dumps; any encrypted swap must meet the privacy design.</w:t>
      </w:r>
    </w:p>
    <w:p>
      <w:r>
        <w:t>At 200 fully paired users, 100 buffers of 64 KiB total 6.25 MiB of message payload. This excludes objects, sockets, queues, drafts and database memory. At one message per user per five seconds, 200 active senders generate 40 incoming messages/sec, plus delivery/ACKs. Audio participants may also text, so include that overlap in testing. Login, Next, reconnect and matching bursts may dominate CPU instead.</w:t>
      </w:r>
    </w:p>
    <w:p>
      <w:r>
        <w:t>With 25 calls, an illustrative 80 to 200 kbit/s outbound per call yields 2 to 5 Mbit/s outbound. Packet rate, TLS fallback, allocation churn, hostile clients and packet loss may set a lower capacity on a given host. Test browser/device and network combinations with real media at the mandatory load. Apply p95 message processing below 100 ms, ordinary API below 300 ms, available-candidate match commit below 1 second, call setup below 10 seconds and at least 95 percent supported-network call success simultaneously. Keep server and network latency separate.</w:t>
      </w:r>
    </w:p>
    <w:p>
      <w:r>
        <w:t>Concurrency is not daily users. Averaging 100 online over 12 hours with 20 minutes of daily usage per person corresponds to 3600 daily users in that illustrative distribution. An evening peak can hit a 200-person cap with far fewer daily users. Registrations and monthly visits do not determine concurrency without session duration and peak distribution.</w:t>
      </w:r>
    </w:p>
    <w:p>
      <w:pPr>
        <w:pStyle w:val="Heading1"/>
      </w:pPr>
      <w:r>
        <w:t>16 Ten implementation phases</w:t>
      </w:r>
    </w:p>
    <w:p>
      <w:r>
        <w:t>Deliver phases sequentially. Each phase ends with a runnable local build, relevant automated tests, a manual demonstration, security/operational checks and a short evidence record. A later phase may refine an earlier module, but it cannot excuse skipping that module's acceptance gate. Policy/provider work begins early and continues alongside engineering; public exposure waits for the launch gates.</w:t>
      </w:r>
    </w:p>
    <w:p>
      <w:pPr>
        <w:pStyle w:val="Heading2"/>
      </w:pPr>
      <w:r>
        <w:t>Phase 1 Foundation and engineering controls</w:t>
      </w:r>
    </w:p>
    <w:p>
      <w:r>
        <w:t>Build the monorepo, pinned toolchains, configuration schema, Go HTTP service, PostgreSQL migrations and roles, Svelte shell, Caddy/Compose environments and CI. Establish the design tokens, typed contracts, request IDs, structured redacted logs, error format, clock abstraction, health/readiness and coordinator skeleton. Add secret management, dependency locks, container restrictions and a documented bootstrap command. Start the threat model and retention inventory now.</w:t>
      </w:r>
    </w:p>
    <w:p>
      <w:r>
        <w:t>Deliver database connectivity, a reversible local migration exercise, minimal public/app routing and production-like startup. Test invalid configuration, unavailable database, health behavior, clean startup/shutdown and frontend build. Record tool versions and reproducible commands. Gate: a fresh checkout can start locally from documented steps, checks pass and no development secret or public database port appears in the release configuration.</w:t>
      </w:r>
    </w:p>
    <w:p>
      <w:pPr>
        <w:pStyle w:val="Heading2"/>
      </w:pPr>
      <w:r>
        <w:t>Phase 2 Product design public pages and SEO</w:t>
      </w:r>
    </w:p>
    <w:p>
      <w:r>
        <w:t>Build the mobile layout first, then adapt the same components for tablet and desktop. Implement the responsive screen system, homepage, How It Works, Premium, Safety and policy/contact routes. Design empty, loading, busy, permission-denied, expired and failure states. Verify the chat composer and safety/call controls with the mobile keyboard open. Implement public prerendering, metadata, sitemap, structured data, app noindex and a real 404.</w:t>
      </w:r>
    </w:p>
    <w:p>
      <w:r>
        <w:t>Create draft policy content with an owner and version; production must reject unresolved operator, grievance, tax or privacy values. Test the widths, orientations, zoom, keyboard and assistive paths in Section 5.2. Check public HTML, metadata and links. Gate: the phone experience passes first, desktop has full feature parity, and the legal review inventory and search controls exist. Do not publish placeholder legal information.</w:t>
      </w:r>
    </w:p>
    <w:p>
      <w:pPr>
        <w:pStyle w:val="Heading2"/>
      </w:pPr>
      <w:r>
        <w:t>Phase 3 Guest accounts profiles and deletion foundation</w:t>
      </w:r>
    </w:p>
    <w:p>
      <w:r>
        <w:t>Implement guest memory sessions, required Male/Female/Other selection for every tier, 18+ confirmation, policy acceptance, registration, private username login, Argon2id, recovery-code rotation, cookie sessions, profile editing, CSRF, reauthentication and logout-all. Add identity/profile/session/consent tables and an initial deletion job plus independent tombstone path. Introduce controlled profession/topic vocabularies and explicit public/private DTOs.</w:t>
      </w:r>
    </w:p>
    <w:p>
      <w:r>
        <w:t>Test guest TTL, missing/invalid gender and blank updates, duplicate usernames, invalid fields, brute-force limits, session fixation, recovery-code replay, expired/revoked sessions, profile visibility, deletion disablement and cookie attributes. Test account handoff against the coordinator even before real matching exists. Gate: entry requires an explicit gender selection but no phone/email; accounts recover with their saved code, profiles change safely and deletion immediately disables access. No sensitive peer fields leak through an API response.</w:t>
      </w:r>
    </w:p>
    <w:p>
      <w:pPr>
        <w:pStyle w:val="Heading2"/>
      </w:pPr>
      <w:r>
        <w:t>Phase 4 Realtime shared matchmaking and reconnect</w:t>
      </w:r>
    </w:p>
    <w:p>
      <w:r>
        <w:t>Implement tickets, WebSocket envelope validation, connection takeover, heartbeats, bounded queues, the single global waiting pool, indexes, atomic reservations, Next/End and generation-safe reconnect. Implement strict mutual gender compatibility and the capped, very soft professional tie-break with No preference behind trusted entitlement interfaces; use test fixtures for paid accounts until Phase 8, never a public debug switch.</w:t>
      </w:r>
    </w:p>
    <w:p>
      <w:r>
        <w:t>Add deterministic clock-driven tests for all tier combinations, required gender, mutual preferences, optional professional fields, global/category No preference, General Talk, OR selections, the small bonus cap and five-second decay. Test fairness, immediate pairing despite zero professional overlap, four-second rematch and strict expiry pause. Stress concurrent joins and stale events with Go race tests. Gate: multiple browsers can repeatedly match without double ownership, hidden pools, long repeat exclusions or automatic gender relaxation. Restart behavior and admission limits are visible and tested.</w:t>
      </w:r>
    </w:p>
    <w:p>
      <w:pPr>
        <w:pStyle w:val="Heading2"/>
      </w:pPr>
      <w:r>
        <w:t>Phase 5 Text reports blocks and minimum moderation</w:t>
      </w:r>
    </w:p>
    <w:p>
      <w:r>
        <w:t>Implement escaped text, server sequence/ACK behavior, bounded dedupe and message buffers, Report Begin/Submit, Report &amp; Block, durable registered blocks and safety invalidation. Create reports, evidence, moderation actions and legal-hold foundations. Ship a small private triage view with MFA and audited suspend/resolve actions in this phase.</w:t>
      </w:r>
    </w:p>
    <w:p>
      <w:r>
        <w:t>Test XSS, Unicode/byte limits, floods, slow readers, stale epochs, fabricated transcript submissions, report-versus-Next races and database failure during block/report. Inspect application logs and database tables to confirm ordinary chat is not being retained unintentionally. Gate: complete text conversation and safety workflows work locally; a trained operator can review submitted evidence and apply a restriction. Real-user testing requires monitored report and grievance coverage.</w:t>
      </w:r>
    </w:p>
    <w:p>
      <w:pPr>
        <w:pStyle w:val="Heading2"/>
      </w:pPr>
      <w:r>
        <w:t>Phase 6 Mutual connections and friend invitations</w:t>
      </w:r>
    </w:p>
    <w:p>
      <w:r>
        <w:t>Implement Stay Connected for guests and accounts, affirmative mutual consent, normalized temporary guest links and durable account friendships, accepted-friend presence and online invitations for text/audio. Add guest TTL/restart cleanup and registration handoff that preserves consent and promotes links only when both endpoints are accounts. Integrate invitations with the same interaction allocator so random and friend sessions cannot overlap. Add Remove, Block and relationship-scoped handles.</w:t>
      </w:r>
    </w:p>
    <w:p>
      <w:r>
        <w:t>Test reciprocal requests across all tier combinations, guest refresh/reconnect, conversation changes, cookie loss, guest TTL, refusal privacy, busy/offline recipients and simultaneous accept/Block/Delete/expiry. Test one-then-both registrations, duplicate promotion, failed persistence, restart and removal. Gate: guests add and contact friends without registration; account friendships survive restart, guest links and pending requests do not. Recontact requires acceptance; no offline message store or public lookup exists, and safety overrides every friend path.</w:t>
      </w:r>
    </w:p>
    <w:p>
      <w:pPr>
        <w:pStyle w:val="Heading2"/>
      </w:pPr>
      <w:r>
        <w:t>Phase 7 Audio relay and call control</w:t>
      </w:r>
    </w:p>
    <w:p>
      <w:r>
        <w:t>Implement consent UI, microphone errors, call state machine, audio-only offer/answer/ICE, relay-only enforcement and credential issuance/refresh. Deploy coturn on the separate staging host, with certificates, restricted ports, quotas, metrics and the private lease supervisor/watchdog. Add cancellation and expired-call credential-replay handling before enabling public audio.</w:t>
      </w:r>
    </w:p>
    <w:p>
      <w:r>
        <w:t>Test browser/device pairs over Wi-Fi, cellular and a restrictive network; test SDP privacy, glare, denial, mute/end, reconnect, long calls, credential replay, Block/Delete and application/supervisor crashes. Measure actual relay egress and allocations. Gate: calls meet connection and shutdown targets, no microphone starts without action, no recordings exist and relay abuse is bounded. Keep audio disabled if safety tests fail; an audio-disabled release does not complete the requested full V1.</w:t>
      </w:r>
    </w:p>
    <w:p>
      <w:pPr>
        <w:pStyle w:val="Heading2"/>
      </w:pPr>
      <w:r>
        <w:t>Phase 8 Premium checkout ledger and refunds</w:t>
      </w:r>
    </w:p>
    <w:p>
      <w:r>
        <w:t>Implement the plan catalog, immutable order snapshot, purchase orders/attempts, the approved Cashfree checkout and provider-specific signature validation, durable webhook inbox, shared capture grant, FIFO duration lots, expiry events, receipts, reconciliation and operator refund/dispute workflows. Connect real entitlement checks to preferences and match commits. Add the specific-filter expiry pause and Everyone consent path.</w:t>
      </w:r>
    </w:p>
    <w:p>
      <w:r>
        <w:t>Test duplicate/out-of-order webhooks, provider timeouts, wrong amounts, lost callback, worker crashes, simultaneous purchases, pending refunds, failed-refund restoration, partial compensation, stacked lots and deleted-account captures. Test paid filtering across all tiers rather than only Premium-to-Premium. Gate: test-mode money and entitlement transitions reconcile exactly and are recoverable; browser flags cannot grant access. Live enablement additionally needs merchant approval, tax/refund policy and controlled live validation.</w:t>
      </w:r>
    </w:p>
    <w:p>
      <w:pPr>
        <w:pStyle w:val="Heading2"/>
      </w:pPr>
      <w:r>
        <w:t>Phase 9 Full operations privacy and observability</w:t>
      </w:r>
    </w:p>
    <w:p>
      <w:r>
        <w:t>Complete roles and MFA, case/grievance workflows, appeals, statutory deadline rules, notification retries, audit views, financial exception queues, retention/hold jobs and privacy requests. Build aggregate dashboards and alerts for queue behavior, application resources, TURN, ungranted captures, overdue jobs, deletion failure, backup recovery point and urgent cases. Finalize support and incident runbooks with backup operators.</w:t>
      </w:r>
    </w:p>
    <w:p>
      <w:r>
        <w:t>Test role escalation, evidence exports, inaccessible support cases, urgent escalation, legal-hold release, purge boundaries, financial retention and restored deletion tombstones. Verify the final legal matrix and upcoming effective dates. Gate: an operator can respond to a critical safety incident, failed payment, privacy request and system outage using documented procedures. A form with no monitored queue does not pass.</w:t>
      </w:r>
    </w:p>
    <w:p>
      <w:pPr>
        <w:pStyle w:val="Heading2"/>
      </w:pPr>
      <w:r>
        <w:t>Phase 10 Hardening deployment and launch</w:t>
      </w:r>
    </w:p>
    <w:p>
      <w:r>
        <w:t>Run the full acceptance matrix on production-like infrastructure, including both six-hour 200-connected / 25-call workloads, overload handling, mobile-first and desktop user journeys, accessibility/SEO, security, restoration and rollback. Test real Android Chrome and iPhone Safari devices, plus desktop Chrome, Edge, Firefox and Safari on their supported platforms; record browser/OS versions. Emulation supplements real-device audio and keyboard checks. Provision domain, TLS, support, backups, monitoring and approved merchant settings. Keep launch switches off until evidence passes.</w:t>
      </w:r>
    </w:p>
    <w:p>
      <w:r>
        <w:t>Run authorized live payment/capture/refund and settlement checks, a production two-browser conversation and report/block smoke test, and cross-network audio. Train the backup operator, record recovery timing and review resource/cost caps. Gate: all launch prerequisites in Section 18 are closed with evidence, there are no unresolved critical failures, and the owner deliberately enables public access. Roll out through a small supervised cohort before broader acquisition. On mobile, include microphone denial, incoming calls, app switching, screen lock, rotation, Wi-Fi/cellular changes and return from checkout. Show the actual interrupted/reconnecting state; follow the existing audio termination and fresh-consent rules after signaling loss. Do not promise uninterrupted background or locked-screen calls.</w:t>
      </w:r>
    </w:p>
    <w:p>
      <w:pPr>
        <w:pStyle w:val="Heading2"/>
      </w:pPr>
      <w:r>
        <w:t>Delivery evidence and ownership</w:t>
      </w:r>
    </w:p>
    <w:p>
      <w:r>
        <w:t>Every phase record contains scope delivered, schema/API changes, commands and environment, test results, manual screenshots or short demonstration notes, unresolved defects, operational notes and the approved next step. Distinguish design complete, code complete, locally verified, staging verified and production enabled. Do not mark a source archive complete merely because it contains files.</w:t>
      </w:r>
    </w:p>
    <w:p>
      <w:r>
        <w:t>The engineering owner owns Phases 1–8 and technical work in 9–10; the business owner owns pricing, operator identity and commercial launch; counsel and the accountant own their signed assessments; an operations owner owns coverage, case response and recovery drills. One person can fill several roles, but all roles must be assigned. Estimate calendar dates after task sizing and available engineering hours are known; provider onboarding and legal review can be critical-path dependencies.</w:t>
      </w:r>
    </w:p>
    <w:p>
      <w:pPr>
        <w:pStyle w:val="Heading1"/>
      </w:pPr>
      <w:r>
        <w:t>17 Maintenance and scaling path</w:t>
      </w:r>
    </w:p>
    <w:p>
      <w:pPr>
        <w:pStyle w:val="Heading2"/>
      </w:pPr>
      <w:r>
        <w:t>17.1 Routine maintenance without extra platforms</w:t>
      </w:r>
    </w:p>
    <w:p>
      <w:r>
        <w:t>Daily: inspect urgent reports/grievance deadlines, availability, captured-but-ungranted payments, failed jobs, deletion completion, unusual TURN activity and the age of the last recoverable WAL. Operator alerts must reach a monitored device or existing approved channel; the application does not need a user-email service. An external availability check is required because a monitor only on the app VM cannot detect that VM disappearing. Do not deploy a monitoring stack that consumes most of the pilot's RAM.</w:t>
      </w:r>
    </w:p>
    <w:p>
      <w:r>
        <w:t>Weekly: manually review the daily automated reconciliation of payments, refunds, fees and settlements; investigate exceptions immediately. Review queue/latency/resource trends, cost forecasts, slow queries and abuse patterns. Monthly: patch supported components, review secrets/access, retention expiry, domain/TLS renewal, restore samples, database growth and dependency findings. Apply urgent security fixes sooner. Quarterly and after material backup changes: perform a full isolated restore, payment/deletion reconciliation and an incident drill with the backup operator.</w:t>
      </w:r>
    </w:p>
    <w:p>
      <w:r>
        <w:t>Assign an owner and backup for operations, grievances and billing. One person may hold several roles but no report queue is left unmonitored. In-app support must remain reachable without account access through the secure public case route. On-call or moderation staffing can cost more than hosting and must be budgeted honestly.</w:t>
      </w:r>
    </w:p>
    <w:p>
      <w:pPr>
        <w:pStyle w:val="Heading2"/>
      </w:pPr>
      <w:r>
        <w:t>17.2 Upgrade only the demonstrated bottleneck</w:t>
      </w:r>
    </w:p>
    <w:p>
      <w:r>
        <w:t>Scale vertically from the 2-vCPU / 4-GiB baseline before distributing ownership. Tune measured inefficiencies in bounded pools, indexes, query timeouts and scan budgets first. For app CPU or memory pressure, evaluate a 4-vCPU / 8-GiB host; sustained shared-CPU contention may instead justify dedicated CPU. Scale the relay independently. Builds never run on production, and every larger admission limit needs validation.</w:t>
      </w:r>
    </w:p>
    <w:p>
      <w:r>
        <w:t>Move PostgreSQL to its own VM or a managed service when resource isolation, maintenance burden or a stronger recovery/availability target justifies the additional bill. A separate DB alone is not high availability. Introduce a standby, automated failover and tested multi-region recovery only when business requirements and revenue fund them. Keep schema/backup formats portable to avoid an application rewrite during this move.</w:t>
      </w:r>
    </w:p>
    <w:p>
      <w:r>
        <w:t>Scale TURN independently when CPU, packet loss, allocation usage or forecast transfer requires it. Assign each new call to one relay host; preserve active-call routing, authenticated lease ownership and aggregate call caps. More relay servers do not change the shared matchmaking population. Do not simply publish extra hosts without testing failover and orphan-call cleanup.</w:t>
      </w:r>
    </w:p>
    <w:p>
      <w:r>
        <w:t>Only add application replicas after implementing one logical matcher with atomic reservations, ownership leases, cross-node socket routing, distributed restrictions/invalidation and crash recovery. Sticky sessions or installing Redis alone cannot make the current RAM-only design safe. A future Redis/NATS-like transport can be selected after this ownership design exists; it is not an MVP dependency. Guest and transcript lifecycle promises must remain accurate after any shared-state change.</w:t>
      </w:r>
    </w:p>
    <w:p>
      <w:pPr>
        <w:pStyle w:val="Heading2"/>
      </w:pPr>
      <w:r>
        <w:t>17.3 Growth decisions tied to evidence</w:t>
      </w:r>
    </w:p>
    <w:p>
      <w:r>
        <w:t>Review scaling during sustained peaks around 140 connected participants or 18 concurrent calls, approximately 70 percent of the initial limits, or when legitimate sessions are repeatedly refused. These trigger investigation, not automatic upgrades. Investigate app CPU above 65 to 70 percent for fifteen minutes with rising latency, RAM above 75 percent after GC, coordinator lag above 100 ms, growing DB/job queues or missed latency objectives. Shared CPU steal time may explain degradation.</w:t>
      </w:r>
    </w:p>
    <w:p>
      <w:r>
        <w:t>Keep disk below 70 percent used or with at least thirty days forecast growth room. Act earlier if WAL or backup lag is rising. Investigate relay allocation/packet limits and call setup failure independently of memory. Transfer alerts use monthly projections rather than instantaneous Mbit/s. These are operating guardrails to validate and tune, not universal hardware facts.</w:t>
      </w:r>
    </w:p>
    <w:p>
      <w:r>
        <w:t>Before launch, prove the required 200-connected / 100-waiting / 25-call limits using the overlapping workloads in Section 15.3. Start on the 4-GiB app configuration; optimize or upgrade until it passes. Explore 500 and then 1000 connections only after that baseline, with safety and money jobs active. Do not promise larger counts before measurement or add horizontal scaling merely because registered accounts increase.</w:t>
      </w:r>
    </w:p>
    <w:p>
      <w:pPr>
        <w:pStyle w:val="Heading1"/>
      </w:pPr>
      <w:r>
        <w:t>18 Launch prerequisites and final checklist</w:t>
      </w:r>
    </w:p>
    <w:p>
      <w:pPr>
        <w:pStyle w:val="Heading2"/>
      </w:pPr>
      <w:r>
        <w:t>18.1 External decisions requiring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544"/>
        <w:gridCol w:w="2088"/>
      </w:tblGrid>
      <w:tr>
        <w:trPr>
          <w:cantSplit/>
          <w:tblHeader/>
        </w:trPr>
        <w:tc>
          <w:tcPr>
            <w:tcW w:type="dxa" w:w="2448"/>
            <w:vAlign w:val="center"/>
            <w:tcMar>
              <w:top w:w="90" w:type="dxa"/>
              <w:left w:w="95" w:type="dxa"/>
              <w:bottom w:w="90" w:type="dxa"/>
              <w:right w:w="95" w:type="dxa"/>
            </w:tcMar>
            <w:shd w:fill="1F3650"/>
          </w:tcPr>
          <w:p>
            <w:pPr>
              <w:keepNext w:val="0"/>
              <w:spacing w:after="0" w:line="245" w:lineRule="auto"/>
            </w:pPr>
            <w:r>
              <w:rPr>
                <w:rFonts w:ascii="Calibri" w:hAnsi="Calibri"/>
                <w:b/>
                <w:color w:val="FFFFFF"/>
                <w:sz w:val="20"/>
              </w:rPr>
              <w:t>Owner</w:t>
            </w:r>
          </w:p>
        </w:tc>
        <w:tc>
          <w:tcPr>
            <w:tcW w:type="dxa" w:w="5544"/>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Required evidence</w:t>
            </w:r>
          </w:p>
        </w:tc>
        <w:tc>
          <w:tcPr>
            <w:tcW w:type="dxa" w:w="2088"/>
            <w:vAlign w:val="center"/>
            <w:tcMar>
              <w:top w:w="90" w:type="dxa"/>
              <w:left w:w="95" w:type="dxa"/>
              <w:bottom w:w="90" w:type="dxa"/>
              <w:right w:w="95" w:type="dxa"/>
            </w:tcMar>
            <w:shd w:fill="1F3650"/>
          </w:tcPr>
          <w:p>
            <w:pPr>
              <w:keepNext w:val="0"/>
              <w:spacing w:after="0" w:line="245" w:lineRule="auto"/>
              <w:jc w:val="center"/>
            </w:pPr>
            <w:r>
              <w:rPr>
                <w:rFonts w:ascii="Calibri" w:hAnsi="Calibri"/>
                <w:b/>
                <w:color w:val="FFFFFF"/>
                <w:sz w:val="20"/>
              </w:rPr>
              <w:t>Gate</w:t>
            </w:r>
          </w:p>
        </w:tc>
      </w:tr>
      <w:tr>
        <w:trPr>
          <w:cantSplit/>
        </w:trPr>
        <w:tc>
          <w:tcPr>
            <w:tcW w:type="dxa" w:w="2448"/>
            <w:vAlign w:val="center"/>
            <w:tcMar>
              <w:top w:w="90" w:type="dxa"/>
              <w:left w:w="95" w:type="dxa"/>
              <w:bottom w:w="90" w:type="dxa"/>
              <w:right w:w="95" w:type="dxa"/>
            </w:tcMar>
          </w:tcPr>
          <w:p>
            <w:pPr>
              <w:keepNext w:val="0"/>
              <w:spacing w:after="0" w:line="245" w:lineRule="auto"/>
            </w:pPr>
            <w:r>
              <w:rPr>
                <w:rFonts w:ascii="Calibri" w:hAnsi="Calibri"/>
                <w:sz w:val="20"/>
              </w:rPr>
              <w:t>Business owner</w:t>
            </w:r>
          </w:p>
        </w:tc>
        <w:tc>
          <w:tcPr>
            <w:tcW w:type="dxa" w:w="5544"/>
            <w:vAlign w:val="center"/>
            <w:tcMar>
              <w:top w:w="90" w:type="dxa"/>
              <w:left w:w="95" w:type="dxa"/>
              <w:bottom w:w="90" w:type="dxa"/>
              <w:right w:w="95" w:type="dxa"/>
            </w:tcMar>
          </w:tcPr>
          <w:p>
            <w:pPr>
              <w:keepNext w:val="0"/>
              <w:spacing w:after="0" w:line="245" w:lineRule="auto"/>
            </w:pPr>
            <w:r>
              <w:rPr>
                <w:rFonts w:ascii="Calibri" w:hAnsi="Calibri"/>
                <w:sz w:val="20"/>
              </w:rPr>
              <w:t>Legal operator/entity, actual domain control, brand/trademark review, published business contact</w:t>
            </w:r>
          </w:p>
        </w:tc>
        <w:tc>
          <w:tcPr>
            <w:tcW w:type="dxa" w:w="2088"/>
            <w:vAlign w:val="center"/>
            <w:tcMar>
              <w:top w:w="90" w:type="dxa"/>
              <w:left w:w="95" w:type="dxa"/>
              <w:bottom w:w="90" w:type="dxa"/>
              <w:right w:w="95" w:type="dxa"/>
            </w:tcMar>
          </w:tcPr>
          <w:p>
            <w:pPr>
              <w:keepNext w:val="0"/>
              <w:spacing w:after="0" w:line="245" w:lineRule="auto"/>
              <w:jc w:val="center"/>
            </w:pPr>
            <w:r>
              <w:rPr>
                <w:rFonts w:ascii="Calibri" w:hAnsi="Calibri"/>
                <w:sz w:val="20"/>
              </w:rPr>
              <w:t>Before public launch</w:t>
            </w:r>
          </w:p>
        </w:tc>
      </w:tr>
      <w:tr>
        <w:trPr>
          <w:cantSplit/>
        </w:trPr>
        <w:tc>
          <w:tcPr>
            <w:tcW w:type="dxa" w:w="2448"/>
            <w:vAlign w:val="center"/>
            <w:tcMar>
              <w:top w:w="90" w:type="dxa"/>
              <w:left w:w="95" w:type="dxa"/>
              <w:bottom w:w="90" w:type="dxa"/>
              <w:right w:w="95" w:type="dxa"/>
            </w:tcMar>
            <w:shd w:fill="F2F5F7"/>
          </w:tcPr>
          <w:p>
            <w:pPr>
              <w:keepNext w:val="0"/>
              <w:spacing w:after="0" w:line="245" w:lineRule="auto"/>
            </w:pPr>
            <w:r>
              <w:rPr>
                <w:rFonts w:ascii="Calibri" w:hAnsi="Calibri"/>
                <w:sz w:val="20"/>
              </w:rPr>
              <w:t>Indian counsel</w:t>
            </w:r>
          </w:p>
        </w:tc>
        <w:tc>
          <w:tcPr>
            <w:tcW w:type="dxa" w:w="5544"/>
            <w:vAlign w:val="center"/>
            <w:tcMar>
              <w:top w:w="90" w:type="dxa"/>
              <w:left w:w="95" w:type="dxa"/>
              <w:bottom w:w="90" w:type="dxa"/>
              <w:right w:w="95" w:type="dxa"/>
            </w:tcMar>
            <w:shd w:fill="F2F5F7"/>
          </w:tcPr>
          <w:p>
            <w:pPr>
              <w:keepNext w:val="0"/>
              <w:spacing w:after="0" w:line="245" w:lineRule="auto"/>
            </w:pPr>
            <w:r>
              <w:rPr>
                <w:rFonts w:ascii="Calibri" w:hAnsi="Calibri"/>
                <w:sz w:val="20"/>
              </w:rPr>
              <w:t>Product classification, applicable IT/DPDP/CERT-In duties and effective dates, age approach, retention opinion, approved notices and appeal process</w:t>
            </w:r>
          </w:p>
        </w:tc>
        <w:tc>
          <w:tcPr>
            <w:tcW w:type="dxa" w:w="2088"/>
            <w:vAlign w:val="center"/>
            <w:tcMar>
              <w:top w:w="90" w:type="dxa"/>
              <w:left w:w="95" w:type="dxa"/>
              <w:bottom w:w="90" w:type="dxa"/>
              <w:right w:w="95" w:type="dxa"/>
            </w:tcMar>
            <w:shd w:fill="F2F5F7"/>
          </w:tcPr>
          <w:p>
            <w:pPr>
              <w:keepNext w:val="0"/>
              <w:spacing w:after="0" w:line="245" w:lineRule="auto"/>
            </w:pPr>
            <w:r>
              <w:rPr>
                <w:rFonts w:ascii="Calibri" w:hAnsi="Calibri"/>
                <w:sz w:val="20"/>
              </w:rPr>
              <w:t>Before public launch and before relevant new duties commence</w:t>
            </w:r>
          </w:p>
        </w:tc>
      </w:tr>
      <w:tr>
        <w:trPr>
          <w:cantSplit/>
        </w:trPr>
        <w:tc>
          <w:tcPr>
            <w:tcW w:type="dxa" w:w="2448"/>
            <w:vAlign w:val="center"/>
            <w:tcMar>
              <w:top w:w="90" w:type="dxa"/>
              <w:left w:w="95" w:type="dxa"/>
              <w:bottom w:w="90" w:type="dxa"/>
              <w:right w:w="95" w:type="dxa"/>
            </w:tcMar>
          </w:tcPr>
          <w:p>
            <w:pPr>
              <w:keepNext w:val="0"/>
              <w:spacing w:after="0" w:line="245" w:lineRule="auto"/>
            </w:pPr>
            <w:r>
              <w:rPr>
                <w:rFonts w:ascii="Calibri" w:hAnsi="Calibri"/>
                <w:sz w:val="20"/>
              </w:rPr>
              <w:t>Grievance and operations owner</w:t>
            </w:r>
          </w:p>
        </w:tc>
        <w:tc>
          <w:tcPr>
            <w:tcW w:type="dxa" w:w="5544"/>
            <w:vAlign w:val="center"/>
            <w:tcMar>
              <w:top w:w="90" w:type="dxa"/>
              <w:left w:w="95" w:type="dxa"/>
              <w:bottom w:w="90" w:type="dxa"/>
              <w:right w:w="95" w:type="dxa"/>
            </w:tcMar>
          </w:tcPr>
          <w:p>
            <w:pPr>
              <w:keepNext w:val="0"/>
              <w:spacing w:after="0" w:line="245" w:lineRule="auto"/>
            </w:pPr>
            <w:r>
              <w:rPr>
                <w:rFonts w:ascii="Calibri" w:hAnsi="Calibri"/>
                <w:sz w:val="20"/>
              </w:rPr>
              <w:t>Named officer, monitored contact, urgent coverage, backup operator and tested escalation</w:t>
            </w:r>
          </w:p>
        </w:tc>
        <w:tc>
          <w:tcPr>
            <w:tcW w:type="dxa" w:w="2088"/>
            <w:vAlign w:val="center"/>
            <w:tcMar>
              <w:top w:w="90" w:type="dxa"/>
              <w:left w:w="95" w:type="dxa"/>
              <w:bottom w:w="90" w:type="dxa"/>
              <w:right w:w="95" w:type="dxa"/>
            </w:tcMar>
          </w:tcPr>
          <w:p>
            <w:pPr>
              <w:keepNext w:val="0"/>
              <w:spacing w:after="0" w:line="245" w:lineRule="auto"/>
            </w:pPr>
            <w:r>
              <w:rPr>
                <w:rFonts w:ascii="Calibri" w:hAnsi="Calibri"/>
                <w:sz w:val="20"/>
              </w:rPr>
              <w:t>Before any real-user beta</w:t>
            </w:r>
          </w:p>
        </w:tc>
      </w:tr>
      <w:tr>
        <w:trPr>
          <w:cantSplit/>
        </w:trPr>
        <w:tc>
          <w:tcPr>
            <w:tcW w:type="dxa" w:w="2448"/>
            <w:vAlign w:val="center"/>
            <w:tcMar>
              <w:top w:w="90" w:type="dxa"/>
              <w:left w:w="95" w:type="dxa"/>
              <w:bottom w:w="90" w:type="dxa"/>
              <w:right w:w="95" w:type="dxa"/>
            </w:tcMar>
            <w:shd w:fill="F2F5F7"/>
          </w:tcPr>
          <w:p>
            <w:pPr>
              <w:keepNext w:val="0"/>
              <w:spacing w:after="0" w:line="245" w:lineRule="auto"/>
            </w:pPr>
            <w:r>
              <w:rPr>
                <w:rFonts w:ascii="Calibri" w:hAnsi="Calibri"/>
                <w:sz w:val="20"/>
              </w:rPr>
              <w:t>Payment provider and business owner</w:t>
            </w:r>
          </w:p>
        </w:tc>
        <w:tc>
          <w:tcPr>
            <w:tcW w:type="dxa" w:w="5544"/>
            <w:vAlign w:val="center"/>
            <w:tcMar>
              <w:top w:w="90" w:type="dxa"/>
              <w:left w:w="95" w:type="dxa"/>
              <w:bottom w:w="90" w:type="dxa"/>
              <w:right w:w="95" w:type="dxa"/>
            </w:tcMar>
            <w:shd w:fill="F2F5F7"/>
          </w:tcPr>
          <w:p>
            <w:r>
              <w:t>Written underwriting acceptance for the actual service, including pseudonymous guests, random text/audio, friends and paid gender preferences; checkout data/notification agreement; activated merchant account and annual-refund route.</w:t>
            </w:r>
          </w:p>
        </w:tc>
        <w:tc>
          <w:tcPr>
            <w:tcW w:type="dxa" w:w="2088"/>
            <w:vAlign w:val="center"/>
            <w:tcMar>
              <w:top w:w="90" w:type="dxa"/>
              <w:left w:w="95" w:type="dxa"/>
              <w:bottom w:w="90" w:type="dxa"/>
              <w:right w:w="95" w:type="dxa"/>
            </w:tcMar>
            <w:shd w:fill="F2F5F7"/>
          </w:tcPr>
          <w:p>
            <w:pPr>
              <w:keepNext w:val="0"/>
              <w:spacing w:after="0" w:line="245" w:lineRule="auto"/>
              <w:jc w:val="center"/>
            </w:pPr>
            <w:r>
              <w:rPr>
                <w:rFonts w:ascii="Calibri" w:hAnsi="Calibri"/>
                <w:sz w:val="20"/>
              </w:rPr>
              <w:t>Before live payments</w:t>
            </w:r>
          </w:p>
        </w:tc>
      </w:tr>
      <w:tr>
        <w:trPr>
          <w:cantSplit/>
        </w:trPr>
        <w:tc>
          <w:tcPr>
            <w:tcW w:type="dxa" w:w="2448"/>
            <w:vAlign w:val="center"/>
            <w:tcMar>
              <w:top w:w="90" w:type="dxa"/>
              <w:left w:w="95" w:type="dxa"/>
              <w:bottom w:w="90" w:type="dxa"/>
              <w:right w:w="95" w:type="dxa"/>
            </w:tcMar>
          </w:tcPr>
          <w:p>
            <w:pPr>
              <w:keepNext w:val="0"/>
              <w:spacing w:after="0" w:line="245" w:lineRule="auto"/>
            </w:pPr>
            <w:r>
              <w:rPr>
                <w:rFonts w:ascii="Calibri" w:hAnsi="Calibri"/>
                <w:sz w:val="20"/>
              </w:rPr>
              <w:t>Accountant and owner</w:t>
            </w:r>
          </w:p>
        </w:tc>
        <w:tc>
          <w:tcPr>
            <w:tcW w:type="dxa" w:w="5544"/>
            <w:vAlign w:val="center"/>
            <w:tcMar>
              <w:top w:w="90" w:type="dxa"/>
              <w:left w:w="95" w:type="dxa"/>
              <w:bottom w:w="90" w:type="dxa"/>
              <w:right w:w="95" w:type="dxa"/>
            </w:tcMar>
          </w:tcPr>
          <w:p>
            <w:pPr>
              <w:keepNext w:val="0"/>
              <w:spacing w:after="0" w:line="245" w:lineRule="auto"/>
            </w:pPr>
            <w:r>
              <w:rPr>
                <w:rFonts w:ascii="Calibri" w:hAnsi="Calibri"/>
                <w:sz w:val="20"/>
              </w:rPr>
              <w:t>Tax classification, inclusive-price treatment, invoices, record retention, fee/refund accounting</w:t>
            </w:r>
          </w:p>
        </w:tc>
        <w:tc>
          <w:tcPr>
            <w:tcW w:type="dxa" w:w="2088"/>
            <w:vAlign w:val="center"/>
            <w:tcMar>
              <w:top w:w="90" w:type="dxa"/>
              <w:left w:w="95" w:type="dxa"/>
              <w:bottom w:w="90" w:type="dxa"/>
              <w:right w:w="95" w:type="dxa"/>
            </w:tcMar>
          </w:tcPr>
          <w:p>
            <w:pPr>
              <w:keepNext w:val="0"/>
              <w:spacing w:after="0" w:line="245" w:lineRule="auto"/>
              <w:jc w:val="center"/>
            </w:pPr>
            <w:r>
              <w:rPr>
                <w:rFonts w:ascii="Calibri" w:hAnsi="Calibri"/>
                <w:sz w:val="20"/>
              </w:rPr>
              <w:t>Before live checkout</w:t>
            </w:r>
          </w:p>
        </w:tc>
      </w:tr>
      <w:tr>
        <w:trPr>
          <w:cantSplit/>
        </w:trPr>
        <w:tc>
          <w:tcPr>
            <w:tcW w:type="dxa" w:w="2448"/>
            <w:vAlign w:val="center"/>
            <w:tcMar>
              <w:top w:w="90" w:type="dxa"/>
              <w:left w:w="95" w:type="dxa"/>
              <w:bottom w:w="90" w:type="dxa"/>
              <w:right w:w="95" w:type="dxa"/>
            </w:tcMar>
            <w:shd w:fill="F2F5F7"/>
          </w:tcPr>
          <w:p>
            <w:pPr>
              <w:keepNext w:val="0"/>
              <w:spacing w:after="0" w:line="245" w:lineRule="auto"/>
            </w:pPr>
            <w:r>
              <w:rPr>
                <w:rFonts w:ascii="Calibri" w:hAnsi="Calibri"/>
                <w:sz w:val="20"/>
              </w:rPr>
              <w:t>Business owner</w:t>
            </w:r>
          </w:p>
        </w:tc>
        <w:tc>
          <w:tcPr>
            <w:tcW w:type="dxa" w:w="5544"/>
            <w:vAlign w:val="center"/>
            <w:tcMar>
              <w:top w:w="90" w:type="dxa"/>
              <w:left w:w="95" w:type="dxa"/>
              <w:bottom w:w="90" w:type="dxa"/>
              <w:right w:w="95" w:type="dxa"/>
            </w:tcMar>
            <w:shd w:fill="F2F5F7"/>
          </w:tcPr>
          <w:p>
            <w:pPr>
              <w:keepNext w:val="0"/>
              <w:spacing w:after="0" w:line="245" w:lineRule="auto"/>
            </w:pPr>
            <w:r>
              <w:rPr>
                <w:rFonts w:ascii="Calibri" w:hAnsi="Calibri"/>
                <w:sz w:val="20"/>
              </w:rPr>
              <w:t>Refund policy, annual-plan economics, operational budget and cash reserve</w:t>
            </w:r>
          </w:p>
        </w:tc>
        <w:tc>
          <w:tcPr>
            <w:tcW w:type="dxa" w:w="2088"/>
            <w:vAlign w:val="center"/>
            <w:tcMar>
              <w:top w:w="90" w:type="dxa"/>
              <w:left w:w="95" w:type="dxa"/>
              <w:bottom w:w="90" w:type="dxa"/>
              <w:right w:w="95" w:type="dxa"/>
            </w:tcMar>
            <w:shd w:fill="F2F5F7"/>
          </w:tcPr>
          <w:p>
            <w:pPr>
              <w:keepNext w:val="0"/>
              <w:spacing w:after="0" w:line="245" w:lineRule="auto"/>
            </w:pPr>
            <w:r>
              <w:rPr>
                <w:rFonts w:ascii="Calibri" w:hAnsi="Calibri"/>
                <w:sz w:val="20"/>
              </w:rPr>
              <w:t>Before enabling affected offers</w:t>
            </w:r>
          </w:p>
        </w:tc>
      </w:tr>
      <w:tr>
        <w:trPr>
          <w:cantSplit/>
        </w:trPr>
        <w:tc>
          <w:tcPr>
            <w:tcW w:type="dxa" w:w="2448"/>
            <w:vAlign w:val="center"/>
            <w:tcMar>
              <w:top w:w="90" w:type="dxa"/>
              <w:left w:w="95" w:type="dxa"/>
              <w:bottom w:w="90" w:type="dxa"/>
              <w:right w:w="95" w:type="dxa"/>
            </w:tcMar>
          </w:tcPr>
          <w:p>
            <w:pPr>
              <w:keepNext w:val="0"/>
              <w:spacing w:after="0" w:line="245" w:lineRule="auto"/>
            </w:pPr>
            <w:r>
              <w:rPr>
                <w:rFonts w:ascii="Calibri" w:hAnsi="Calibri"/>
                <w:sz w:val="20"/>
              </w:rPr>
              <w:t>Engineering owner</w:t>
            </w:r>
          </w:p>
        </w:tc>
        <w:tc>
          <w:tcPr>
            <w:tcW w:type="dxa" w:w="5544"/>
            <w:vAlign w:val="center"/>
            <w:tcMar>
              <w:top w:w="90" w:type="dxa"/>
              <w:left w:w="95" w:type="dxa"/>
              <w:bottom w:w="90" w:type="dxa"/>
              <w:right w:w="95" w:type="dxa"/>
            </w:tcMar>
          </w:tcPr>
          <w:p>
            <w:pPr>
              <w:keepNext w:val="0"/>
              <w:spacing w:after="0" w:line="245" w:lineRule="auto"/>
            </w:pPr>
            <w:r>
              <w:rPr>
                <w:rFonts w:ascii="Calibri" w:hAnsi="Calibri"/>
                <w:sz w:val="20"/>
              </w:rPr>
              <w:t>Passing acceptance matrix, both 200-user/25-call soak tests, recovery evidence, media enforcement, secure production configuration and release/rollback record</w:t>
            </w:r>
          </w:p>
        </w:tc>
        <w:tc>
          <w:tcPr>
            <w:tcW w:type="dxa" w:w="2088"/>
            <w:vAlign w:val="center"/>
            <w:tcMar>
              <w:top w:w="90" w:type="dxa"/>
              <w:left w:w="95" w:type="dxa"/>
              <w:bottom w:w="90" w:type="dxa"/>
              <w:right w:w="95" w:type="dxa"/>
            </w:tcMar>
          </w:tcPr>
          <w:p>
            <w:pPr>
              <w:keepNext w:val="0"/>
              <w:spacing w:after="0" w:line="245" w:lineRule="auto"/>
            </w:pPr>
            <w:r>
              <w:rPr>
                <w:rFonts w:ascii="Calibri" w:hAnsi="Calibri"/>
                <w:sz w:val="20"/>
              </w:rPr>
              <w:t>Before feature/public enablement</w:t>
            </w:r>
          </w:p>
        </w:tc>
      </w:tr>
    </w:tbl>
    <w:p>
      <w:pPr>
        <w:spacing w:after="40" w:before="0" w:line="60" w:lineRule="exact"/>
      </w:pPr>
    </w:p>
    <w:p>
      <w:r>
        <w:t>The provider must see the real product and controls. Workplace branding is not a substitute for business-category approval. A rejected onboarding decision requires an approved alternative integration or a free-only release decision; do not misdescribe the service to obtain processing.</w:t>
      </w:r>
    </w:p>
    <w:p>
      <w:pPr>
        <w:pStyle w:val="Heading2"/>
      </w:pPr>
      <w:r>
        <w:t>18.2 Go or no go</w:t>
      </w:r>
    </w:p>
    <w:p>
      <w:r>
        <w:t>Public text launch requires working identity, one-pool matching, Report/Block, real moderation/grievance coverage, approved notices/retention, production security, backups and restore. Public audio additionally requires all relay-only, consent and shutdown gates. Paid features additionally require captured-payment integrity, live provider approval, tested refunds, reconciliation and correct consumer/tax disclosures. A feature flag can reduce launch scope explicitly, but it cannot label an unfinished feature complete.</w:t>
      </w:r>
    </w:p>
    <w:p>
      <w:r>
        <w:t>Complete V1 requires all ten phases and their applicable gates, including demonstrated support for at least 200 connected users and 25 simultaneous audio calls. Begin with a supervised cohort, monitor a full operating cycle including payments and urgent-case coverage, then expand within tested limits. Staff rollback and feature-disable controls; reducing features or capacity does not constitute delivery of the full requested application. Responsive mobile and desktop workflows must both pass; mobile usability defects block full launch.</w:t>
      </w:r>
    </w:p>
    <w:p>
      <w:r>
        <w:t>Do not launch with legal placeholders, unverified indefinite no-retention promises, unmonitored reports, uncontrolled audio allocations, client-controlled entitlements, lost webhook events, unrehearsed recovery, exposed administration or a pending critical security defect. These are concrete gaps in the operating product, not paperwork to add later.</w:t>
      </w:r>
    </w:p>
    <w:p>
      <w:pPr>
        <w:pStyle w:val="Heading1"/>
      </w:pPr>
      <w:r>
        <w:t>19 Primary references</w:t>
      </w:r>
    </w:p>
    <w:p>
      <w:r>
        <w:t>References were checked on 9 October 2026. Provider settings and applicable law must be rechecked at implementation and launch. The engineering choices and numerical service targets in this blueprint are proposed design decisions; the references support the cited external behavior, price or legal text.</w:t>
      </w:r>
    </w:p>
    <w:p>
      <w:pPr>
        <w:spacing w:after="80"/>
      </w:pPr>
      <w:r>
        <w:rPr>
          <w:sz w:val="20"/>
        </w:rPr>
        <w:t xml:space="preserve">[S01] Svelte documentation. Static site generation and application fallback. </w:t>
      </w:r>
      <w:hyperlink r:id="rId11">
        <w:r>
          <w:rPr>
            <w:color w:val="215F7A"/>
          </w:rPr>
          <w:t>Open official source</w:t>
        </w:r>
      </w:hyperlink>
      <w:r>
        <w:rPr>
          <w:sz w:val="20"/>
        </w:rPr>
      </w:r>
    </w:p>
    <w:p>
      <w:pPr>
        <w:spacing w:after="80"/>
      </w:pPr>
      <w:r>
        <w:rPr>
          <w:sz w:val="20"/>
        </w:rPr>
        <w:t xml:space="preserve">[S02] coturn project. Server configuration and administrative session cancellation. </w:t>
      </w:r>
      <w:hyperlink r:id="rId12">
        <w:r>
          <w:rPr>
            <w:color w:val="215F7A"/>
          </w:rPr>
          <w:t>Open official source</w:t>
        </w:r>
      </w:hyperlink>
      <w:r>
        <w:rPr>
          <w:sz w:val="20"/>
        </w:rPr>
        <w:t xml:space="preserve"> and </w:t>
      </w:r>
      <w:hyperlink r:id="rId13">
        <w:r>
          <w:rPr>
            <w:color w:val="215F7A"/>
          </w:rPr>
          <w:t>Open official source</w:t>
        </w:r>
      </w:hyperlink>
      <w:r>
        <w:rPr>
          <w:sz w:val="20"/>
        </w:rPr>
      </w:r>
    </w:p>
    <w:p>
      <w:pPr>
        <w:spacing w:after="80"/>
      </w:pPr>
      <w:r>
        <w:rPr>
          <w:sz w:val="20"/>
        </w:rPr>
        <w:t xml:space="preserve">[S03] Razorpay documentation. Go integration and server-side checkout signature verification. </w:t>
      </w:r>
      <w:hyperlink r:id="rId14">
        <w:r>
          <w:rPr>
            <w:color w:val="215F7A"/>
          </w:rPr>
          <w:t>Open official source</w:t>
        </w:r>
      </w:hyperlink>
      <w:r>
        <w:rPr>
          <w:sz w:val="20"/>
        </w:rPr>
      </w:r>
    </w:p>
    <w:p>
      <w:pPr>
        <w:spacing w:after="80"/>
      </w:pPr>
      <w:r>
        <w:rPr>
          <w:sz w:val="20"/>
        </w:rPr>
        <w:t xml:space="preserve">[S04] Razorpay documentation. Validate and test webhooks including raw-body verification duplicate events and ordering. </w:t>
      </w:r>
      <w:hyperlink r:id="rId15">
        <w:r>
          <w:rPr>
            <w:color w:val="215F7A"/>
          </w:rPr>
          <w:t>Open official source</w:t>
        </w:r>
      </w:hyperlink>
      <w:r>
        <w:rPr>
          <w:sz w:val="20"/>
        </w:rPr>
      </w:r>
    </w:p>
    <w:p>
      <w:pPr>
        <w:spacing w:after="80"/>
      </w:pPr>
      <w:r>
        <w:rPr>
          <w:sz w:val="20"/>
        </w:rPr>
        <w:t xml:space="preserve">[S05] Razorpay documentation. Refund lifecycle source refunds and provider limitations. </w:t>
      </w:r>
      <w:hyperlink r:id="rId16">
        <w:r>
          <w:rPr>
            <w:color w:val="215F7A"/>
          </w:rPr>
          <w:t>Open official source</w:t>
        </w:r>
      </w:hyperlink>
      <w:r>
        <w:rPr>
          <w:sz w:val="20"/>
        </w:rPr>
      </w:r>
    </w:p>
    <w:p>
      <w:pPr>
        <w:spacing w:after="80"/>
      </w:pPr>
      <w:r>
        <w:rPr>
          <w:sz w:val="20"/>
        </w:rPr>
        <w:t xml:space="preserve">[S06] Cloudflare documentation. WebSocket support and WAF limitations. </w:t>
      </w:r>
      <w:hyperlink r:id="rId17">
        <w:r>
          <w:rPr>
            <w:color w:val="215F7A"/>
          </w:rPr>
          <w:t>Open official source</w:t>
        </w:r>
      </w:hyperlink>
      <w:r>
        <w:rPr>
          <w:sz w:val="20"/>
        </w:rPr>
      </w:r>
    </w:p>
    <w:p>
      <w:pPr>
        <w:spacing w:after="80"/>
      </w:pPr>
      <w:r>
        <w:rPr>
          <w:sz w:val="20"/>
        </w:rPr>
        <w:t xml:space="preserve">[S07] MeitY. Consolidated IT intermediary rules updated 10 February 2026, particularly Rule 3. </w:t>
      </w:r>
      <w:hyperlink r:id="rId18">
        <w:r>
          <w:rPr>
            <w:color w:val="215F7A"/>
          </w:rPr>
          <w:t>Open official source</w:t>
        </w:r>
      </w:hyperlink>
      <w:r>
        <w:rPr>
          <w:sz w:val="20"/>
        </w:rPr>
      </w:r>
    </w:p>
    <w:p>
      <w:pPr>
        <w:spacing w:after="80"/>
      </w:pPr>
      <w:r>
        <w:rPr>
          <w:sz w:val="20"/>
        </w:rPr>
        <w:t xml:space="preserve">[S08] CERT-In. Cybersecurity directions dated 28 April 2022 and accompanying FAQ. </w:t>
      </w:r>
      <w:hyperlink r:id="rId19">
        <w:r>
          <w:rPr>
            <w:color w:val="215F7A"/>
          </w:rPr>
          <w:t>Open official source</w:t>
        </w:r>
      </w:hyperlink>
      <w:r>
        <w:rPr>
          <w:sz w:val="20"/>
        </w:rPr>
        <w:t xml:space="preserve"> and </w:t>
      </w:r>
      <w:hyperlink r:id="rId20">
        <w:r>
          <w:rPr>
            <w:color w:val="215F7A"/>
          </w:rPr>
          <w:t>Open official source</w:t>
        </w:r>
      </w:hyperlink>
      <w:r>
        <w:rPr>
          <w:sz w:val="20"/>
        </w:rPr>
      </w:r>
    </w:p>
    <w:p>
      <w:pPr>
        <w:spacing w:after="80"/>
      </w:pPr>
      <w:r>
        <w:rPr>
          <w:sz w:val="20"/>
        </w:rPr>
        <w:t xml:space="preserve">[S09] MeitY. Digital Personal Data Protection Rules 2025, particularly Rules 1, 6 and 8. </w:t>
      </w:r>
      <w:hyperlink r:id="rId21">
        <w:r>
          <w:rPr>
            <w:color w:val="215F7A"/>
          </w:rPr>
          <w:t>Open official source</w:t>
        </w:r>
      </w:hyperlink>
      <w:r>
        <w:rPr>
          <w:sz w:val="20"/>
        </w:rPr>
      </w:r>
    </w:p>
    <w:p>
      <w:pPr>
        <w:spacing w:after="80"/>
      </w:pPr>
      <w:r>
        <w:rPr>
          <w:sz w:val="20"/>
        </w:rPr>
        <w:t xml:space="preserve">[S10] MeitY. December 2025 corrigendum and official rules and commencement material index. </w:t>
      </w:r>
      <w:hyperlink r:id="rId22">
        <w:r>
          <w:rPr>
            <w:color w:val="215F7A"/>
          </w:rPr>
          <w:t>Open official source</w:t>
        </w:r>
      </w:hyperlink>
      <w:r>
        <w:rPr>
          <w:sz w:val="20"/>
        </w:rPr>
        <w:t xml:space="preserve"> and </w:t>
      </w:r>
      <w:hyperlink r:id="rId23">
        <w:r>
          <w:rPr>
            <w:color w:val="215F7A"/>
          </w:rPr>
          <w:t>Open official source</w:t>
        </w:r>
      </w:hyperlink>
      <w:r>
        <w:rPr>
          <w:sz w:val="20"/>
        </w:rPr>
      </w:r>
    </w:p>
    <w:p>
      <w:pPr>
        <w:spacing w:after="80"/>
      </w:pPr>
      <w:r>
        <w:rPr>
          <w:sz w:val="20"/>
        </w:rPr>
        <w:t xml:space="preserve">[S11] DigitalOcean. Regular Basic Droplet list pricing. </w:t>
      </w:r>
      <w:hyperlink r:id="rId24">
        <w:r>
          <w:rPr>
            <w:color w:val="215F7A"/>
          </w:rPr>
          <w:t>Open official source</w:t>
        </w:r>
      </w:hyperlink>
      <w:r>
        <w:rPr>
          <w:sz w:val="20"/>
        </w:rPr>
      </w:r>
    </w:p>
    <w:p>
      <w:pPr>
        <w:spacing w:after="80"/>
      </w:pPr>
      <w:r>
        <w:rPr>
          <w:sz w:val="20"/>
        </w:rPr>
        <w:t xml:space="preserve">[S12] DigitalOcean documentation. Spaces Standard Storage pricing. </w:t>
      </w:r>
      <w:hyperlink r:id="rId25">
        <w:r>
          <w:rPr>
            <w:color w:val="215F7A"/>
          </w:rPr>
          <w:t>Open official source</w:t>
        </w:r>
      </w:hyperlink>
      <w:r>
        <w:rPr>
          <w:sz w:val="20"/>
        </w:rPr>
      </w:r>
    </w:p>
    <w:p>
      <w:pPr>
        <w:spacing w:after="80"/>
      </w:pPr>
      <w:r>
        <w:rPr>
          <w:sz w:val="20"/>
        </w:rPr>
        <w:t xml:space="preserve">[S13] DigitalOcean. Spaces availability in Bangalore. </w:t>
      </w:r>
      <w:hyperlink r:id="rId26">
        <w:r>
          <w:rPr>
            <w:color w:val="215F7A"/>
          </w:rPr>
          <w:t>Open official source</w:t>
        </w:r>
      </w:hyperlink>
      <w:r>
        <w:rPr>
          <w:sz w:val="20"/>
        </w:rPr>
      </w:r>
    </w:p>
    <w:p>
      <w:pPr>
        <w:spacing w:after="80"/>
      </w:pPr>
      <w:r>
        <w:rPr>
          <w:sz w:val="20"/>
        </w:rPr>
        <w:t xml:space="preserve">[S14] DigitalOcean documentation. Basic daily and weekly backup pricing. </w:t>
      </w:r>
      <w:hyperlink r:id="rId27">
        <w:r>
          <w:rPr>
            <w:color w:val="215F7A"/>
          </w:rPr>
          <w:t>Open official source</w:t>
        </w:r>
      </w:hyperlink>
      <w:r>
        <w:rPr>
          <w:sz w:val="20"/>
        </w:rPr>
      </w:r>
    </w:p>
    <w:p>
      <w:pPr>
        <w:spacing w:after="80"/>
      </w:pPr>
      <w:r>
        <w:rPr>
          <w:sz w:val="20"/>
        </w:rPr>
        <w:t xml:space="preserve">[S15] Razorpay. Standard payment gateway pricing and published fee explanation. </w:t>
      </w:r>
      <w:hyperlink r:id="rId28">
        <w:r>
          <w:rPr>
            <w:color w:val="215F7A"/>
          </w:rPr>
          <w:t>Open official source</w:t>
        </w:r>
      </w:hyperlink>
      <w:r>
        <w:rPr>
          <w:sz w:val="20"/>
        </w:rPr>
        <w:t xml:space="preserve"> and </w:t>
      </w:r>
      <w:hyperlink r:id="rId29">
        <w:r>
          <w:rPr>
            <w:color w:val="215F7A"/>
          </w:rPr>
          <w:t>Open official source</w:t>
        </w:r>
      </w:hyperlink>
      <w:r>
        <w:rPr>
          <w:sz w:val="20"/>
        </w:rPr>
      </w:r>
    </w:p>
    <w:p>
      <w:pPr>
        <w:spacing w:after="80"/>
      </w:pPr>
      <w:r>
        <w:rPr>
          <w:sz w:val="20"/>
        </w:rPr>
        <w:t xml:space="preserve">[S16] DigitalOcean documentation. Bandwidth allowances pooling and outbound overage billing. </w:t>
      </w:r>
      <w:hyperlink r:id="rId30">
        <w:r>
          <w:rPr>
            <w:color w:val="215F7A"/>
          </w:rPr>
          <w:t>Open official source</w:t>
        </w:r>
      </w:hyperlink>
      <w:r>
        <w:rPr>
          <w:sz w:val="20"/>
        </w:rPr>
      </w:r>
    </w:p>
    <w:p>
      <w:pPr>
        <w:spacing w:after="80"/>
      </w:pPr>
      <w:r>
        <w:t>[S17] AWS S3 pricing and charge components. https://aws.amazon.com/s3/pricing/</w:t>
      </w:r>
    </w:p>
    <w:p>
      <w:pPr>
        <w:spacing w:after="80"/>
      </w:pPr>
      <w:r>
        <w:t>[S18] AWS Lightsail instance and object storage pricing. https://aws.amazon.com/lightsail/pricing/</w:t>
      </w:r>
    </w:p>
    <w:p>
      <w:pPr>
        <w:spacing w:after="80"/>
      </w:pPr>
      <w:r>
        <w:t>[S19] AWS Lightsail transfer allowances regional pooling and overage. https://docs.aws.amazon.com/lightsail/latest/userguide/amazon-lightsail-faq-data-transfer-allowance.html</w:t>
      </w:r>
    </w:p>
    <w:p>
      <w:pPr>
        <w:spacing w:after="80"/>
      </w:pPr>
      <w:r>
        <w:t>[S20] AWS Lightsail CPU baseline and burst credits. https://docs.aws.amazon.com/lightsail/latest/userguide/baseline-cpu-performance.html</w:t>
      </w:r>
    </w:p>
    <w:p>
      <w:pPr>
        <w:spacing w:after="80"/>
      </w:pPr>
      <w:r>
        <w:t>[S21] Cashfree standard pricing and current promotional terms. https://www.cashfree.com/payment-gateway-charges/</w:t>
      </w:r>
    </w:p>
    <w:p>
      <w:pPr>
        <w:spacing w:after="80"/>
      </w:pPr>
      <w:r>
        <w:t>[S22] Razorpay merchant terms including prohibited businesses. https://razorpay.com/terms/</w:t>
      </w:r>
    </w:p>
    <w:p>
      <w:pPr>
        <w:spacing w:after="80"/>
      </w:pPr>
      <w:r>
        <w:t>[S23] Cashfree merchant terms and refund conditions. https://www.cashfree.com/tnc/</w:t>
      </w:r>
    </w:p>
    <w:p>
      <w:pPr>
        <w:spacing w:after="80"/>
      </w:pPr>
      <w:r>
        <w:t>[S24] Cashfree Create Order API and customer data contract. https://www.cashfree.com/docs/api-reference/payments/latest/orders/create-order</w:t>
      </w:r>
    </w:p>
    <w:p>
      <w:pPr>
        <w:spacing w:after="80"/>
      </w:pPr>
      <w:r>
        <w:t>[S25] Cashfree webhook idempotency and payment success. https://www.cashfree.com/docs/payments/online/webhooks/webhook-indempotency</w:t>
      </w:r>
    </w:p>
    <w:p>
      <w:pPr>
        <w:spacing w:after="80"/>
      </w:pPr>
      <w:r>
        <w:t>[S26] Cashfree refund API and time limits. https://www.cashfree.com/docs/api-reference/payments/latest/refunds/create-refund</w:t>
      </w:r>
    </w:p>
    <w:p>
      <w:pPr>
        <w:spacing w:after="80"/>
      </w:pPr>
      <w:r>
        <w:t>[S27] Go concurrency implementation and language FAQ. https://go.dev/doc/faq</w:t>
      </w:r>
    </w:p>
    <w:p>
      <w:pPr>
        <w:spacing w:after="80"/>
      </w:pPr>
      <w:r>
        <w:t>[S28] PostgreSQL memory and resource settings. https://www.postgresql.org/docs/current/runtime-config-resource.html</w:t>
      </w:r>
    </w:p>
    <w:p>
      <w:pPr>
        <w:spacing w:after="80"/>
      </w:pPr>
      <w:r>
        <w:t>[S29] Node event loop and worker pool guidance. https://nodejs.org/en/learn/asynchronous-work/dont-block-the-event-loop</w:t>
      </w:r>
    </w:p>
    <w:p>
      <w:pPr>
        <w:spacing w:after="80"/>
      </w:pPr>
      <w:r>
        <w:t>[S30] FastAPI process replication and memory. https://fastapi.tiangolo.com/deployment/concepts/</w:t>
      </w:r>
    </w:p>
    <w:p>
      <w:pPr>
        <w:spacing w:after="80"/>
      </w:pPr>
      <w:r>
        <w:t>[S31] SQLite appropriate uses and concurrency. https://www.sqlite.org/whentouse.html</w:t>
      </w:r>
    </w:p>
    <w:p>
      <w:pPr>
        <w:spacing w:after="80"/>
      </w:pPr>
      <w:r>
        <w:t>[S32] PostgreSQL WAL and archive timeout. https://www.postgresql.org/docs/current/runtime-config-wal.html</w:t>
      </w:r>
    </w:p>
    <w:p>
      <w:pPr>
        <w:spacing w:after="80"/>
      </w:pPr>
      <w:r>
        <w:t>[S33] DigitalOcean India tax policy. https://docs.digitalocean.com/platform/billing/taxes/ind/</w:t>
      </w:r>
    </w:p>
    <w:p>
      <w:pPr>
        <w:spacing w:after="80"/>
      </w:pPr>
      <w:r>
        <w:t>[S34] Cashfree official Go webhook verification implementation. https://github.com/cashfree/cashfree-pg/blob/main/docs/Webhook.md</w:t>
      </w:r>
    </w:p>
    <w:p>
      <w:pPr>
        <w:spacing w:after="80"/>
      </w:pPr>
      <w:r>
        <w:t>[S35] MDN viewport behavior, zoom and safe areas. https://developer.mozilla.org/en-US/docs/Web/HTML/Reference/Elements/meta/name/viewport</w:t>
      </w:r>
    </w:p>
    <w:p>
      <w:pPr>
        <w:spacing w:after="80"/>
      </w:pPr>
      <w:r>
        <w:t>[S36] W3C WCAG 2.2 Reflow. https://www.w3.org/WAI/WCAG22/Understanding/reflow.html</w:t>
      </w:r>
    </w:p>
    <w:p>
      <w:pPr>
        <w:spacing w:after="80"/>
      </w:pPr>
      <w:r>
        <w:t>[S37] W3C WCAG 2.2 Target Size Enhanced. https://www.w3.org/WAI/WCAG22/Understanding/target-size-enhanced.html</w:t>
      </w:r>
    </w:p>
    <w:sectPr w:rsidR="00FC693F" w:rsidRPr="0006063C" w:rsidSect="00034616">
      <w:footerReference w:type="default" r:id="rId9"/>
      <w:headerReference w:type="default" r:id="rId31"/>
      <w:pgSz w:w="12240" w:h="15840"/>
      <w:pgMar w:top="1037"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788"/>
        <w:sz w:val="18"/>
      </w:rPr>
      <w:t xml:space="preserve">NoTitle V1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F365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F3650"/>
      <w:sz w:val="27"/>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F36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0607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after="120" w:line="259" w:lineRule="auto"/>
      <w:ind w:left="720"/>
      <w:contextualSpacing/>
    </w:pPr>
    <w:rPr>
      <w:rFonts w:ascii="Calibri" w:hAnsi="Calibri"/>
      <w:sz w:val="22"/>
    </w:rPr>
  </w:style>
  <w:style w:type="paragraph" w:styleId="BodyText">
    <w:name w:val="Body Text"/>
    <w:basedOn w:val="Normal"/>
    <w:link w:val="BodyTextChar"/>
    <w:uiPriority w:val="99"/>
    <w:unhideWhenUsed/>
    <w:rsid w:val="00AA1D8D"/>
    <w:pPr>
      <w:widowControl/>
      <w:spacing w:after="12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svelte.dev/docs/kit/adapter-static" TargetMode="External"/><Relationship Id="rId12" Type="http://schemas.openxmlformats.org/officeDocument/2006/relationships/hyperlink" Target="https://github.com/coturn/coturn/blob/master/examples/etc/turnserver.conf" TargetMode="External"/><Relationship Id="rId13" Type="http://schemas.openxmlformats.org/officeDocument/2006/relationships/hyperlink" Target="https://github.com/coturn/coturn/blob/master/src/apps/relay/turn_admin_server.c" TargetMode="External"/><Relationship Id="rId14" Type="http://schemas.openxmlformats.org/officeDocument/2006/relationships/hyperlink" Target="https://razorpay.com/docs/payments/server-integration/go/integration-steps/" TargetMode="External"/><Relationship Id="rId15" Type="http://schemas.openxmlformats.org/officeDocument/2006/relationships/hyperlink" Target="https://razorpay.com/docs/webhooks/validate-test/" TargetMode="External"/><Relationship Id="rId16" Type="http://schemas.openxmlformats.org/officeDocument/2006/relationships/hyperlink" Target="https://razorpay.com/docs/payments/refunds/" TargetMode="External"/><Relationship Id="rId17" Type="http://schemas.openxmlformats.org/officeDocument/2006/relationships/hyperlink" Target="https://developers.cloudflare.com/network/websockets/" TargetMode="External"/><Relationship Id="rId18" Type="http://schemas.openxmlformats.org/officeDocument/2006/relationships/hyperlink" Target="https://www.meity.gov.in/static/uploads/2026/02/550681ab908f8afb135b0ad42816a1c9.pdf" TargetMode="External"/><Relationship Id="rId19" Type="http://schemas.openxmlformats.org/officeDocument/2006/relationships/hyperlink" Target="https://www.cert-in.org.in/PDF/CERT-In_Directions_70B_28.04.2022.pdf" TargetMode="External"/><Relationship Id="rId20" Type="http://schemas.openxmlformats.org/officeDocument/2006/relationships/hyperlink" Target="https://www.cert-in.org.in/PDF/FAQs_on_CyberSecurityDirections_May2022.pdf" TargetMode="External"/><Relationship Id="rId21" Type="http://schemas.openxmlformats.org/officeDocument/2006/relationships/hyperlink" Target="https://www.meity.gov.in/static/uploads/2025/11/53450e6e5dc0bfa85ebd78686cadad39.pdf" TargetMode="External"/><Relationship Id="rId22" Type="http://schemas.openxmlformats.org/officeDocument/2006/relationships/hyperlink" Target="https://www.meity.gov.in/static/uploads/2025/12/3c7ebbae0e5456f493f486e6845df86b.pdf" TargetMode="External"/><Relationship Id="rId23" Type="http://schemas.openxmlformats.org/officeDocument/2006/relationships/hyperlink" Target="https://www.meity.gov.in/documents/act-and-policies/digital-personal-data-protection-rules-2025-gDOxUjMtQWa" TargetMode="External"/><Relationship Id="rId24" Type="http://schemas.openxmlformats.org/officeDocument/2006/relationships/hyperlink" Target="https://www.digitalocean.com/pricing/droplets" TargetMode="External"/><Relationship Id="rId25" Type="http://schemas.openxmlformats.org/officeDocument/2006/relationships/hyperlink" Target="https://docs.digitalocean.com/products/spaces/details/pricing/" TargetMode="External"/><Relationship Id="rId26" Type="http://schemas.openxmlformats.org/officeDocument/2006/relationships/hyperlink" Target="https://www.digitalocean.com/blog/spaces-blr" TargetMode="External"/><Relationship Id="rId27" Type="http://schemas.openxmlformats.org/officeDocument/2006/relationships/hyperlink" Target="https://docs.digitalocean.com/products/backups/details/pricing/" TargetMode="External"/><Relationship Id="rId28" Type="http://schemas.openxmlformats.org/officeDocument/2006/relationships/hyperlink" Target="https://razorpay.com/pricing/" TargetMode="External"/><Relationship Id="rId29" Type="http://schemas.openxmlformats.org/officeDocument/2006/relationships/hyperlink" Target="https://razorpay.com/blog/razorpay-payment-gateway-pricing-explained/" TargetMode="External"/><Relationship Id="rId30" Type="http://schemas.openxmlformats.org/officeDocument/2006/relationships/hyperlink" Target="https://docs.digitalocean.com/platform/billing/bandwidth/" TargetMode="External"/><Relationship Id="rId3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NoTitle V1 Optimized Implementation Blueprint</dc:title>
  <dc:subject>India-first MVP architecture costs and delivery plan</dc:subject>
  <dc:creator/>
  <cp:keywords>NoTitle, implementation, matchmaking, Cashfree, deployment</cp:keywords>
  <dc:description>Mobile-first responsive website required, with desktop feature parity and explicit device, viewport, touch, keyboard and audio acceptance gates.</dc:description>
  <cp:lastModifiedBy/>
  <cp:revision>1</cp:revision>
  <dcterms:created xsi:type="dcterms:W3CDTF">2013-12-23T23:15:00Z</dcterms:created>
  <dcterms:modified xsi:type="dcterms:W3CDTF">2013-12-23T23:15:00Z</dcterms:modified>
  <cp:category/>
  <cp:version>3.2</cp:version>
</cp:coreProperties>
</file>