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100"/>
        <w:jc w:val="center"/>
      </w:pPr>
      <w:r>
        <w:rPr>
          <w:rFonts w:ascii="Arial" w:cs="Arial" w:eastAsia="Arial" w:hAnsi="Arial"/>
          <w:b/>
          <w:bCs/>
          <w:color w:val="7F8C8D"/>
          <w:sz w:val="24"/>
          <w:szCs w:val="24"/>
        </w:rPr>
        <w:t xml:space="preserve">VIGNAN'S INSTITUTE OF INFORMATION TECHNOLOGY</w:t>
      </w:r>
    </w:p>
    <w:p>
      <w:pPr>
        <w:spacing w:after="60"/>
        <w:jc w:val="center"/>
      </w:pPr>
      <w:r>
        <w:rPr>
          <w:rFonts w:ascii="Arial" w:cs="Arial" w:eastAsia="Arial" w:hAnsi="Arial"/>
          <w:color w:val="7F8C8D"/>
          <w:sz w:val="22"/>
          <w:szCs w:val="22"/>
        </w:rPr>
        <w:t xml:space="preserve">Department of Computer Science and Engineering</w:t>
      </w:r>
    </w:p>
    <w:p>
      <w:pPr>
        <w:spacing w:after="80"/>
      </w:pPr>
    </w:p>
    <w:p>
      <w:pPr>
        <w:pBdr>
          <w:bottom w:val="single" w:color="1B4F72" w:sz="6" w:space="8"/>
        </w:pBdr>
        <w:spacing w:after="40"/>
        <w:jc w:val="center"/>
      </w:pPr>
      <w:r>
        <w:rPr>
          <w:rFonts w:ascii="Arial" w:cs="Arial" w:eastAsia="Arial" w:hAnsi="Arial"/>
          <w:b/>
          <w:bCs/>
          <w:color w:val="2E86C1"/>
          <w:sz w:val="22"/>
          <w:szCs w:val="22"/>
        </w:rPr>
        <w:t xml:space="preserve">B.TECH PROJECT 2024–25</w:t>
      </w:r>
    </w:p>
    <w:p>
      <w:pPr>
        <w:spacing w:after="80"/>
      </w:pPr>
    </w:p>
    <w:p>
      <w:pPr>
        <w:spacing w:after="80"/>
      </w:pPr>
    </w:p>
    <w:p>
      <w:pPr>
        <w:spacing w:after="120"/>
        <w:jc w:val="center"/>
      </w:pPr>
      <w:r>
        <w:rPr>
          <w:rFonts w:ascii="Arial" w:cs="Arial" w:eastAsia="Arial" w:hAnsi="Arial"/>
          <w:b/>
          <w:bCs/>
          <w:color w:val="1B4F72"/>
          <w:sz w:val="44"/>
          <w:szCs w:val="44"/>
        </w:rPr>
        <w:t xml:space="preserve">AI-Based Developmental Risk Monitoring</w:t>
      </w:r>
    </w:p>
    <w:p>
      <w:pPr>
        <w:spacing w:after="120"/>
        <w:jc w:val="center"/>
      </w:pPr>
      <w:r>
        <w:rPr>
          <w:rFonts w:ascii="Arial" w:cs="Arial" w:eastAsia="Arial" w:hAnsi="Arial"/>
          <w:b/>
          <w:bCs/>
          <w:color w:val="1B4F72"/>
          <w:sz w:val="44"/>
          <w:szCs w:val="44"/>
        </w:rPr>
        <w:t xml:space="preserve">&amp; Referral System for ICDS</w:t>
      </w:r>
    </w:p>
    <w:p>
      <w:pPr>
        <w:spacing w:after="80"/>
      </w:pPr>
    </w:p>
    <w:p>
      <w:pPr>
        <w:spacing w:after="200"/>
        <w:jc w:val="center"/>
      </w:pPr>
      <w:r>
        <w:rPr>
          <w:rFonts w:ascii="Arial" w:cs="Arial" w:eastAsia="Arial" w:hAnsi="Arial"/>
          <w:i/>
          <w:iCs/>
          <w:color w:val="2E86C1"/>
          <w:sz w:val="22"/>
          <w:szCs w:val="22"/>
        </w:rPr>
        <w:t xml:space="preserve">Comprehensive Technical Report — Backend Architecture, Implementation &amp; Testing</w:t>
      </w:r>
    </w:p>
    <w:p>
      <w:pPr>
        <w:spacing w:after="80"/>
      </w:pPr>
    </w:p>
    <w:p>
      <w:pPr>
        <w:spacing w:after="80"/>
      </w:pPr>
    </w:p>
    <w:p>
      <w:pPr>
        <w:spacing w:after="60"/>
        <w:jc w:val="center"/>
      </w:pPr>
      <w:r>
        <w:rPr>
          <w:rFonts w:ascii="Arial" w:cs="Arial" w:eastAsia="Arial" w:hAnsi="Arial"/>
          <w:color w:val="2C3E50"/>
          <w:sz w:val="22"/>
          <w:szCs w:val="22"/>
        </w:rPr>
        <w:t xml:space="preserve">Project Mentor: Dr. A. Sampath Dakshina Murthy</w:t>
      </w:r>
    </w:p>
    <w:p>
      <w:pPr>
        <w:spacing w:after="80"/>
      </w:pPr>
    </w:p>
    <w:p>
      <w:pPr>
        <w:spacing w:after="40"/>
        <w:jc w:val="center"/>
      </w:pPr>
      <w:r>
        <w:rPr>
          <w:rFonts w:ascii="Arial" w:cs="Arial" w:eastAsia="Arial" w:hAnsi="Arial"/>
          <w:b/>
          <w:bCs/>
          <w:color w:val="1B4F72"/>
          <w:sz w:val="22"/>
          <w:szCs w:val="22"/>
        </w:rPr>
        <w:t xml:space="preserve">Team Members</w:t>
      </w:r>
    </w:p>
    <w:p>
      <w:pPr>
        <w:spacing w:after="30"/>
        <w:jc w:val="center"/>
      </w:pPr>
      <w:r>
        <w:rPr>
          <w:rFonts w:ascii="Arial" w:cs="Arial" w:eastAsia="Arial" w:hAnsi="Arial"/>
          <w:color w:val="2C3E50"/>
          <w:sz w:val="22"/>
          <w:szCs w:val="22"/>
        </w:rPr>
        <w:t xml:space="preserve">Preetham Saxon (24L31A05C8)</w:t>
      </w:r>
    </w:p>
    <w:p>
      <w:pPr>
        <w:spacing w:after="30"/>
        <w:jc w:val="center"/>
      </w:pPr>
      <w:r>
        <w:rPr>
          <w:rFonts w:ascii="Arial" w:cs="Arial" w:eastAsia="Arial" w:hAnsi="Arial"/>
          <w:color w:val="2C3E50"/>
          <w:sz w:val="22"/>
          <w:szCs w:val="22"/>
        </w:rPr>
        <w:t xml:space="preserve">Srijanya (24L31A0598)</w:t>
      </w:r>
    </w:p>
    <w:p>
      <w:pPr>
        <w:spacing w:after="30"/>
        <w:jc w:val="center"/>
      </w:pPr>
      <w:r>
        <w:rPr>
          <w:rFonts w:ascii="Arial" w:cs="Arial" w:eastAsia="Arial" w:hAnsi="Arial"/>
          <w:color w:val="2C3E50"/>
          <w:sz w:val="22"/>
          <w:szCs w:val="22"/>
        </w:rPr>
        <w:t xml:space="preserve">Mani Vivek (24L31A0576)</w:t>
      </w:r>
    </w:p>
    <w:p>
      <w:pPr>
        <w:spacing w:after="30"/>
        <w:jc w:val="center"/>
      </w:pPr>
      <w:r>
        <w:rPr>
          <w:rFonts w:ascii="Arial" w:cs="Arial" w:eastAsia="Arial" w:hAnsi="Arial"/>
          <w:color w:val="2C3E50"/>
          <w:sz w:val="22"/>
          <w:szCs w:val="22"/>
        </w:rPr>
        <w:t xml:space="preserve">Sudeepthi (24L31A0584)</w:t>
      </w:r>
    </w:p>
    <w:p>
      <w:pPr>
        <w:spacing w:after="30"/>
        <w:jc w:val="center"/>
      </w:pPr>
      <w:r>
        <w:rPr>
          <w:rFonts w:ascii="Arial" w:cs="Arial" w:eastAsia="Arial" w:hAnsi="Arial"/>
          <w:color w:val="2C3E50"/>
          <w:sz w:val="22"/>
          <w:szCs w:val="22"/>
        </w:rPr>
        <w:t xml:space="preserve">Tejaswani (24L31A05A7)</w:t>
      </w:r>
    </w:p>
    <w:p>
      <w:pPr>
        <w:spacing w:after="80"/>
      </w:pPr>
    </w:p>
    <w:p>
      <w:pPr>
        <w:spacing w:after="80"/>
      </w:pPr>
    </w:p>
    <w:p>
      <w:pPr>
        <w:jc w:val="center"/>
      </w:pPr>
      <w:r>
        <w:rPr>
          <w:rFonts w:ascii="Arial" w:cs="Arial" w:eastAsia="Arial" w:hAnsi="Arial"/>
          <w:color w:val="7F8C8D"/>
          <w:sz w:val="22"/>
          <w:szCs w:val="22"/>
        </w:rPr>
        <w:t xml:space="preserve">March 2026</w:t>
      </w:r>
    </w:p>
    <w:p>
      <w:r>
        <w:br w:type="page"/>
      </w:r>
    </w:p>
    <w:p>
      <w:pPr>
        <w:pStyle w:val="Heading1"/>
        <w:spacing w:before="360" w:after="200"/>
      </w:pPr>
      <w:r>
        <w:rPr>
          <w:rFonts w:ascii="Arial" w:cs="Arial" w:eastAsia="Arial" w:hAnsi="Arial"/>
          <w:b/>
          <w:bCs/>
          <w:color w:val="1B4F72"/>
          <w:sz w:val="32"/>
          <w:szCs w:val="32"/>
        </w:rPr>
        <w:t xml:space="preserve">Table of Contents</w:t>
      </w:r>
    </w:p>
    <w:p>
      <w:pPr>
        <w:spacing w:after="80"/>
      </w:pPr>
    </w:p>
    <w:p>
      <w:pPr>
        <w:tabs>
          <w:tab w:val="right" w:pos="9360"/>
        </w:tabs>
        <w:spacing w:after="80"/>
      </w:pPr>
      <w:r>
        <w:rPr>
          <w:rFonts w:ascii="Arial" w:cs="Arial" w:eastAsia="Arial" w:hAnsi="Arial"/>
          <w:color w:val="2C3E50"/>
          <w:sz w:val="22"/>
          <w:szCs w:val="22"/>
        </w:rPr>
        <w:t xml:space="preserve">1.  Executive Summary</w:t>
      </w:r>
      <w:r>
        <w:rPr>
          <w:rFonts w:ascii="Arial" w:cs="Arial" w:eastAsia="Arial" w:hAnsi="Arial"/>
          <w:color w:val="7F8C8D"/>
          <w:sz w:val="22"/>
          <w:szCs w:val="22"/>
        </w:rPr>
        <w:t xml:space="preserve">	3</w:t>
      </w:r>
    </w:p>
    <w:p>
      <w:pPr>
        <w:tabs>
          <w:tab w:val="right" w:pos="9360"/>
        </w:tabs>
        <w:spacing w:after="80"/>
      </w:pPr>
      <w:r>
        <w:rPr>
          <w:rFonts w:ascii="Arial" w:cs="Arial" w:eastAsia="Arial" w:hAnsi="Arial"/>
          <w:color w:val="2C3E50"/>
          <w:sz w:val="22"/>
          <w:szCs w:val="22"/>
        </w:rPr>
        <w:t xml:space="preserve">2.  Problem Statement &amp; Motivation</w:t>
      </w:r>
      <w:r>
        <w:rPr>
          <w:rFonts w:ascii="Arial" w:cs="Arial" w:eastAsia="Arial" w:hAnsi="Arial"/>
          <w:color w:val="7F8C8D"/>
          <w:sz w:val="22"/>
          <w:szCs w:val="22"/>
        </w:rPr>
        <w:t xml:space="preserve">	3</w:t>
      </w:r>
    </w:p>
    <w:p>
      <w:pPr>
        <w:tabs>
          <w:tab w:val="right" w:pos="9360"/>
        </w:tabs>
        <w:spacing w:after="80"/>
      </w:pPr>
      <w:r>
        <w:rPr>
          <w:rFonts w:ascii="Arial" w:cs="Arial" w:eastAsia="Arial" w:hAnsi="Arial"/>
          <w:color w:val="2C3E50"/>
          <w:sz w:val="22"/>
          <w:szCs w:val="22"/>
        </w:rPr>
        <w:t xml:space="preserve">3.  System Architecture &amp; Tech Stack</w:t>
      </w:r>
      <w:r>
        <w:rPr>
          <w:rFonts w:ascii="Arial" w:cs="Arial" w:eastAsia="Arial" w:hAnsi="Arial"/>
          <w:color w:val="7F8C8D"/>
          <w:sz w:val="22"/>
          <w:szCs w:val="22"/>
        </w:rPr>
        <w:t xml:space="preserve">	4</w:t>
      </w:r>
    </w:p>
    <w:p>
      <w:pPr>
        <w:tabs>
          <w:tab w:val="right" w:pos="9360"/>
        </w:tabs>
        <w:spacing w:after="80"/>
      </w:pPr>
      <w:r>
        <w:rPr>
          <w:rFonts w:ascii="Arial" w:cs="Arial" w:eastAsia="Arial" w:hAnsi="Arial"/>
          <w:color w:val="2C3E50"/>
          <w:sz w:val="22"/>
          <w:szCs w:val="22"/>
        </w:rPr>
        <w:t xml:space="preserve">4.  Database Design (Dual-Database Architecture)</w:t>
      </w:r>
      <w:r>
        <w:rPr>
          <w:rFonts w:ascii="Arial" w:cs="Arial" w:eastAsia="Arial" w:hAnsi="Arial"/>
          <w:color w:val="7F8C8D"/>
          <w:sz w:val="22"/>
          <w:szCs w:val="22"/>
        </w:rPr>
        <w:t xml:space="preserve">	6</w:t>
      </w:r>
    </w:p>
    <w:p>
      <w:pPr>
        <w:tabs>
          <w:tab w:val="right" w:pos="9360"/>
        </w:tabs>
        <w:spacing w:after="80"/>
      </w:pPr>
      <w:r>
        <w:rPr>
          <w:rFonts w:ascii="Arial" w:cs="Arial" w:eastAsia="Arial" w:hAnsi="Arial"/>
          <w:color w:val="2C3E50"/>
          <w:sz w:val="22"/>
          <w:szCs w:val="22"/>
        </w:rPr>
        <w:t xml:space="preserve">5.  AI Risk Assessment Engine (ASQ-3)</w:t>
      </w:r>
      <w:r>
        <w:rPr>
          <w:rFonts w:ascii="Arial" w:cs="Arial" w:eastAsia="Arial" w:hAnsi="Arial"/>
          <w:color w:val="7F8C8D"/>
          <w:sz w:val="22"/>
          <w:szCs w:val="22"/>
        </w:rPr>
        <w:t xml:space="preserve">	8</w:t>
      </w:r>
    </w:p>
    <w:p>
      <w:pPr>
        <w:tabs>
          <w:tab w:val="right" w:pos="9360"/>
        </w:tabs>
        <w:spacing w:after="80"/>
      </w:pPr>
      <w:r>
        <w:rPr>
          <w:rFonts w:ascii="Arial" w:cs="Arial" w:eastAsia="Arial" w:hAnsi="Arial"/>
          <w:color w:val="2C3E50"/>
          <w:sz w:val="22"/>
          <w:szCs w:val="22"/>
        </w:rPr>
        <w:t xml:space="preserve">6.  API Architecture &amp; Endpoints</w:t>
      </w:r>
      <w:r>
        <w:rPr>
          <w:rFonts w:ascii="Arial" w:cs="Arial" w:eastAsia="Arial" w:hAnsi="Arial"/>
          <w:color w:val="7F8C8D"/>
          <w:sz w:val="22"/>
          <w:szCs w:val="22"/>
        </w:rPr>
        <w:t xml:space="preserve">	10</w:t>
      </w:r>
    </w:p>
    <w:p>
      <w:pPr>
        <w:tabs>
          <w:tab w:val="right" w:pos="9360"/>
        </w:tabs>
        <w:spacing w:after="80"/>
      </w:pPr>
      <w:r>
        <w:rPr>
          <w:rFonts w:ascii="Arial" w:cs="Arial" w:eastAsia="Arial" w:hAnsi="Arial"/>
          <w:color w:val="2C3E50"/>
          <w:sz w:val="22"/>
          <w:szCs w:val="22"/>
        </w:rPr>
        <w:t xml:space="preserve">7.  Authentication &amp; Authorization</w:t>
      </w:r>
      <w:r>
        <w:rPr>
          <w:rFonts w:ascii="Arial" w:cs="Arial" w:eastAsia="Arial" w:hAnsi="Arial"/>
          <w:color w:val="7F8C8D"/>
          <w:sz w:val="22"/>
          <w:szCs w:val="22"/>
        </w:rPr>
        <w:t xml:space="preserve">	12</w:t>
      </w:r>
    </w:p>
    <w:p>
      <w:pPr>
        <w:tabs>
          <w:tab w:val="right" w:pos="9360"/>
        </w:tabs>
        <w:spacing w:after="80"/>
      </w:pPr>
      <w:r>
        <w:rPr>
          <w:rFonts w:ascii="Arial" w:cs="Arial" w:eastAsia="Arial" w:hAnsi="Arial"/>
          <w:color w:val="2C3E50"/>
          <w:sz w:val="22"/>
          <w:szCs w:val="22"/>
        </w:rPr>
        <w:t xml:space="preserve">8.  Data Seeding Strategy</w:t>
      </w:r>
      <w:r>
        <w:rPr>
          <w:rFonts w:ascii="Arial" w:cs="Arial" w:eastAsia="Arial" w:hAnsi="Arial"/>
          <w:color w:val="7F8C8D"/>
          <w:sz w:val="22"/>
          <w:szCs w:val="22"/>
        </w:rPr>
        <w:t xml:space="preserve">	13</w:t>
      </w:r>
    </w:p>
    <w:p>
      <w:pPr>
        <w:tabs>
          <w:tab w:val="right" w:pos="9360"/>
        </w:tabs>
        <w:spacing w:after="80"/>
      </w:pPr>
      <w:r>
        <w:rPr>
          <w:rFonts w:ascii="Arial" w:cs="Arial" w:eastAsia="Arial" w:hAnsi="Arial"/>
          <w:color w:val="2C3E50"/>
          <w:sz w:val="22"/>
          <w:szCs w:val="22"/>
        </w:rPr>
        <w:t xml:space="preserve">9.  Challenges Encountered &amp; Solutions</w:t>
      </w:r>
      <w:r>
        <w:rPr>
          <w:rFonts w:ascii="Arial" w:cs="Arial" w:eastAsia="Arial" w:hAnsi="Arial"/>
          <w:color w:val="7F8C8D"/>
          <w:sz w:val="22"/>
          <w:szCs w:val="22"/>
        </w:rPr>
        <w:t xml:space="preserve">	14</w:t>
      </w:r>
    </w:p>
    <w:p>
      <w:pPr>
        <w:tabs>
          <w:tab w:val="right" w:pos="9360"/>
        </w:tabs>
        <w:spacing w:after="80"/>
      </w:pPr>
      <w:r>
        <w:rPr>
          <w:rFonts w:ascii="Arial" w:cs="Arial" w:eastAsia="Arial" w:hAnsi="Arial"/>
          <w:color w:val="2C3E50"/>
          <w:sz w:val="22"/>
          <w:szCs w:val="22"/>
        </w:rPr>
        <w:t xml:space="preserve">10.  Testing &amp; Validation</w:t>
      </w:r>
      <w:r>
        <w:rPr>
          <w:rFonts w:ascii="Arial" w:cs="Arial" w:eastAsia="Arial" w:hAnsi="Arial"/>
          <w:color w:val="7F8C8D"/>
          <w:sz w:val="22"/>
          <w:szCs w:val="22"/>
        </w:rPr>
        <w:t xml:space="preserve">	16</w:t>
      </w:r>
    </w:p>
    <w:p>
      <w:pPr>
        <w:tabs>
          <w:tab w:val="right" w:pos="9360"/>
        </w:tabs>
        <w:spacing w:after="80"/>
      </w:pPr>
      <w:r>
        <w:rPr>
          <w:rFonts w:ascii="Arial" w:cs="Arial" w:eastAsia="Arial" w:hAnsi="Arial"/>
          <w:color w:val="2C3E50"/>
          <w:sz w:val="22"/>
          <w:szCs w:val="22"/>
        </w:rPr>
        <w:t xml:space="preserve">11.  Current Status &amp; Metrics</w:t>
      </w:r>
      <w:r>
        <w:rPr>
          <w:rFonts w:ascii="Arial" w:cs="Arial" w:eastAsia="Arial" w:hAnsi="Arial"/>
          <w:color w:val="7F8C8D"/>
          <w:sz w:val="22"/>
          <w:szCs w:val="22"/>
        </w:rPr>
        <w:t xml:space="preserve">	17</w:t>
      </w:r>
    </w:p>
    <w:p>
      <w:pPr>
        <w:tabs>
          <w:tab w:val="right" w:pos="9360"/>
        </w:tabs>
        <w:spacing w:after="80"/>
      </w:pPr>
      <w:r>
        <w:rPr>
          <w:rFonts w:ascii="Arial" w:cs="Arial" w:eastAsia="Arial" w:hAnsi="Arial"/>
          <w:color w:val="2C3E50"/>
          <w:sz w:val="22"/>
          <w:szCs w:val="22"/>
        </w:rPr>
        <w:t xml:space="preserve">12.  Future Roadmap</w:t>
      </w:r>
      <w:r>
        <w:rPr>
          <w:rFonts w:ascii="Arial" w:cs="Arial" w:eastAsia="Arial" w:hAnsi="Arial"/>
          <w:color w:val="7F8C8D"/>
          <w:sz w:val="22"/>
          <w:szCs w:val="22"/>
        </w:rPr>
        <w:t xml:space="preserve">	18</w:t>
      </w:r>
    </w:p>
    <w:p>
      <w:pPr>
        <w:tabs>
          <w:tab w:val="right" w:pos="9360"/>
        </w:tabs>
        <w:spacing w:after="80"/>
      </w:pPr>
      <w:r>
        <w:rPr>
          <w:rFonts w:ascii="Arial" w:cs="Arial" w:eastAsia="Arial" w:hAnsi="Arial"/>
          <w:color w:val="2C3E50"/>
          <w:sz w:val="22"/>
          <w:szCs w:val="22"/>
        </w:rPr>
        <w:t xml:space="preserve">13.  Setup &amp; Installation Guide</w:t>
      </w:r>
      <w:r>
        <w:rPr>
          <w:rFonts w:ascii="Arial" w:cs="Arial" w:eastAsia="Arial" w:hAnsi="Arial"/>
          <w:color w:val="7F8C8D"/>
          <w:sz w:val="22"/>
          <w:szCs w:val="22"/>
        </w:rPr>
        <w:t xml:space="preserve">	19</w:t>
      </w:r>
    </w:p>
    <w:p>
      <w:r>
        <w:br w:type="page"/>
      </w:r>
    </w:p>
    <w:p>
      <w:pPr>
        <w:pStyle w:val="Heading1"/>
        <w:spacing w:before="360" w:after="200"/>
      </w:pPr>
      <w:r>
        <w:rPr>
          <w:rFonts w:ascii="Arial" w:cs="Arial" w:eastAsia="Arial" w:hAnsi="Arial"/>
          <w:b/>
          <w:bCs/>
          <w:color w:val="1B4F72"/>
          <w:sz w:val="32"/>
          <w:szCs w:val="32"/>
        </w:rPr>
        <w:t xml:space="preserve">1. Executive Summary</w:t>
      </w:r>
    </w:p>
    <w:p>
      <w:pPr>
        <w:spacing w:after="120" w:line="276"/>
        <w:jc w:val="both"/>
      </w:pPr>
      <w:r>
        <w:rPr>
          <w:rFonts w:ascii="Arial" w:cs="Arial" w:eastAsia="Arial" w:hAnsi="Arial"/>
          <w:color w:val="2C3E50"/>
          <w:sz w:val="22"/>
          <w:szCs w:val="22"/>
        </w:rPr>
        <w:t xml:space="preserve">This report documents the complete backend development of the AI-Based Developmental Risk Monitoring &amp; Referral System for India’s Integrated Child Development Services (ICDS) program. The system addresses critical gaps in early childhood developmental screening by leveraging artificial intelligence, multi-domain assessment frameworks, and geo-spatial analytics to enable real-time risk identification and automated referral workflows.</w:t>
      </w:r>
    </w:p>
    <w:p>
      <w:pPr>
        <w:spacing w:after="120" w:line="276"/>
        <w:jc w:val="both"/>
      </w:pPr>
      <w:r>
        <w:rPr>
          <w:rFonts w:ascii="Arial" w:cs="Arial" w:eastAsia="Arial" w:hAnsi="Arial"/>
          <w:color w:val="2C3E50"/>
          <w:sz w:val="22"/>
          <w:szCs w:val="22"/>
        </w:rPr>
        <w:t xml:space="preserve">The project was developed as a B.Tech final year project at Vignan’s Institute of Information Technology, Visakhapatnam, under the guidance of Dr. A. Sampath Dakshina Murthy. The team of five members collaborated across frontend, backend, and AI/ML components to build a production-grade system targeting the 1.36 million Anganwadi Centres (AWCs) across India, with a pilot focus on Andhra Pradesh’s 13 districts.</w:t>
      </w:r>
    </w:p>
    <w:p>
      <w:pPr>
        <w:spacing w:after="120" w:line="276"/>
        <w:jc w:val="both"/>
      </w:pPr>
      <w:r>
        <w:rPr>
          <w:rFonts w:ascii="Arial" w:cs="Arial" w:eastAsia="Arial" w:hAnsi="Arial"/>
          <w:color w:val="2C3E50"/>
          <w:sz w:val="22"/>
          <w:szCs w:val="22"/>
        </w:rPr>
        <w:t xml:space="preserve">The backend system was scaled from a basic 3-route Express application to a startup-grade architecture featuring 28+ API endpoints, dual-database design (MongoDB + PostgreSQL), JWT authentication with 7 role types, a 5-domain ASQ-3 developmental risk calculator, automated referral lifecycle management with SLA tracking, and comprehensive dashboard aggregation APIs. The system was seeded with 3,362 children, 2,510 screening records, and 388 referrals across 165 Anganwadi Centres in 13 Andhra Pradesh districts, providing a realistic demonstration environment.</w:t>
      </w:r>
    </w:p>
    <w:p>
      <w:r>
        <w:br w:type="page"/>
      </w:r>
    </w:p>
    <w:p>
      <w:pPr>
        <w:pStyle w:val="Heading1"/>
        <w:spacing w:before="360" w:after="200"/>
      </w:pPr>
      <w:r>
        <w:rPr>
          <w:rFonts w:ascii="Arial" w:cs="Arial" w:eastAsia="Arial" w:hAnsi="Arial"/>
          <w:b/>
          <w:bCs/>
          <w:color w:val="1B4F72"/>
          <w:sz w:val="32"/>
          <w:szCs w:val="32"/>
        </w:rPr>
        <w:t xml:space="preserve">2. Problem Statement &amp; Motivation</w:t>
      </w:r>
    </w:p>
    <w:p>
      <w:pPr>
        <w:pStyle w:val="Heading2"/>
        <w:spacing w:before="280" w:after="160"/>
      </w:pPr>
      <w:r>
        <w:rPr>
          <w:rFonts w:ascii="Arial" w:cs="Arial" w:eastAsia="Arial" w:hAnsi="Arial"/>
          <w:b/>
          <w:bCs/>
          <w:color w:val="2E86C1"/>
          <w:sz w:val="26"/>
          <w:szCs w:val="26"/>
        </w:rPr>
        <w:t xml:space="preserve">2.1 Background</w:t>
      </w:r>
    </w:p>
    <w:p>
      <w:pPr>
        <w:spacing w:after="120" w:line="276"/>
        <w:jc w:val="both"/>
      </w:pPr>
      <w:r>
        <w:rPr>
          <w:rFonts w:ascii="Arial" w:cs="Arial" w:eastAsia="Arial" w:hAnsi="Arial"/>
          <w:color w:val="2C3E50"/>
          <w:sz w:val="22"/>
          <w:szCs w:val="22"/>
        </w:rPr>
        <w:t xml:space="preserve">India’s ICDS program serves over 97 million children (ages 0–6) through 1.36 million Anganwadi Centres. While the program provides health, nutrition, and pre-school education, developmental screening remains largely manual, inconsistent, and data-poor. Current systems rely on paper-based registers with 4–6 week reporting lags, resulting in fewer than 5% of at-risk children being identified early enough for effective intervention.</w:t>
      </w:r>
    </w:p>
    <w:p>
      <w:pPr>
        <w:pStyle w:val="Heading2"/>
        <w:spacing w:before="280" w:after="160"/>
      </w:pPr>
      <w:r>
        <w:rPr>
          <w:rFonts w:ascii="Arial" w:cs="Arial" w:eastAsia="Arial" w:hAnsi="Arial"/>
          <w:b/>
          <w:bCs/>
          <w:color w:val="2E86C1"/>
          <w:sz w:val="26"/>
          <w:szCs w:val="26"/>
        </w:rPr>
        <w:t xml:space="preserve">2.2 Core Problems Identified</w:t>
      </w:r>
    </w:p>
    <w:p>
      <w:pPr>
        <w:spacing w:after="120" w:line="276"/>
      </w:pPr>
      <w:r>
        <w:rPr>
          <w:rFonts w:ascii="Arial" w:cs="Arial" w:eastAsia="Arial" w:hAnsi="Arial"/>
          <w:b/>
          <w:bCs/>
          <w:color w:val="2C3E50"/>
          <w:sz w:val="22"/>
          <w:szCs w:val="22"/>
        </w:rPr>
        <w:t xml:space="preserve">No Real-Time Dashboards: </w:t>
      </w:r>
      <w:r>
        <w:rPr>
          <w:rFonts w:ascii="Arial" w:cs="Arial" w:eastAsia="Arial" w:hAnsi="Arial"/>
          <w:color w:val="2C3E50"/>
          <w:sz w:val="22"/>
          <w:szCs w:val="22"/>
        </w:rPr>
        <w:t xml:space="preserve">Supervisors and CDPOs rely on paper registers and monthly reports with significant lags. There is no live view of AWC-level screening coverage or risk counts, making timely decision-making impossible.</w:t>
      </w:r>
    </w:p>
    <w:p>
      <w:pPr>
        <w:spacing w:after="120" w:line="276"/>
      </w:pPr>
      <w:r>
        <w:rPr>
          <w:rFonts w:ascii="Arial" w:cs="Arial" w:eastAsia="Arial" w:hAnsi="Arial"/>
          <w:b/>
          <w:bCs/>
          <w:color w:val="2C3E50"/>
          <w:sz w:val="22"/>
          <w:szCs w:val="22"/>
        </w:rPr>
        <w:t xml:space="preserve">Delayed Risk Identification: </w:t>
      </w:r>
      <w:r>
        <w:rPr>
          <w:rFonts w:ascii="Arial" w:cs="Arial" w:eastAsia="Arial" w:hAnsi="Arial"/>
          <w:color w:val="2C3E50"/>
          <w:sz w:val="22"/>
          <w:szCs w:val="22"/>
        </w:rPr>
        <w:t xml:space="preserve">Developmental deviations in motor, language, and cognitive domains are flagged months after onset. The critical intervention window of 0–3 years is often missed entirely, leading to irreversible developmental impacts.</w:t>
      </w:r>
    </w:p>
    <w:p>
      <w:pPr>
        <w:spacing w:after="120" w:line="276"/>
      </w:pPr>
      <w:r>
        <w:rPr>
          <w:rFonts w:ascii="Arial" w:cs="Arial" w:eastAsia="Arial" w:hAnsi="Arial"/>
          <w:b/>
          <w:bCs/>
          <w:color w:val="2C3E50"/>
          <w:sz w:val="22"/>
          <w:szCs w:val="22"/>
        </w:rPr>
        <w:t xml:space="preserve">Data Fragmentation: </w:t>
      </w:r>
      <w:r>
        <w:rPr>
          <w:rFonts w:ascii="Arial" w:cs="Arial" w:eastAsia="Arial" w:hAnsi="Arial"/>
          <w:color w:val="2C3E50"/>
          <w:sz w:val="22"/>
          <w:szCs w:val="22"/>
        </w:rPr>
        <w:t xml:space="preserve">ICDS data lives in siloed registers where health, nutrition, and development records are never integrated for holistic child risk profiling. This prevents comprehensive assessment.</w:t>
      </w:r>
    </w:p>
    <w:p>
      <w:pPr>
        <w:spacing w:after="120" w:line="276"/>
      </w:pPr>
      <w:r>
        <w:rPr>
          <w:rFonts w:ascii="Arial" w:cs="Arial" w:eastAsia="Arial" w:hAnsi="Arial"/>
          <w:b/>
          <w:bCs/>
          <w:color w:val="2C3E50"/>
          <w:sz w:val="22"/>
          <w:szCs w:val="22"/>
        </w:rPr>
        <w:t xml:space="preserve">Absence of Geo-Spatial Analytics: </w:t>
      </w:r>
      <w:r>
        <w:rPr>
          <w:rFonts w:ascii="Arial" w:cs="Arial" w:eastAsia="Arial" w:hAnsi="Arial"/>
          <w:color w:val="2C3E50"/>
          <w:sz w:val="22"/>
          <w:szCs w:val="22"/>
        </w:rPr>
        <w:t xml:space="preserve">High-risk mandals and districts are unidentifiable without map-based analytics. No spatial clustering analysis exists for targeted resource deployment.</w:t>
      </w:r>
    </w:p>
    <w:p>
      <w:pPr>
        <w:spacing w:after="120" w:line="276"/>
      </w:pPr>
      <w:r>
        <w:rPr>
          <w:rFonts w:ascii="Arial" w:cs="Arial" w:eastAsia="Arial" w:hAnsi="Arial"/>
          <w:b/>
          <w:bCs/>
          <w:color w:val="2C3E50"/>
          <w:sz w:val="22"/>
          <w:szCs w:val="22"/>
        </w:rPr>
        <w:t xml:space="preserve">Manual Referral Processes: </w:t>
      </w:r>
      <w:r>
        <w:rPr>
          <w:rFonts w:ascii="Arial" w:cs="Arial" w:eastAsia="Arial" w:hAnsi="Arial"/>
          <w:color w:val="2C3E50"/>
          <w:sz w:val="22"/>
          <w:szCs w:val="22"/>
        </w:rPr>
        <w:t xml:space="preserve">Referrals are initiated manually, inconsistently, and without severity prioritization. No systematic tracking of referral completion rates exists, allowing critical cases to fall through the cracks.</w:t>
      </w:r>
    </w:p>
    <w:p>
      <w:pPr>
        <w:spacing w:after="120" w:line="276"/>
      </w:pPr>
      <w:r>
        <w:rPr>
          <w:rFonts w:ascii="Arial" w:cs="Arial" w:eastAsia="Arial" w:hAnsi="Arial"/>
          <w:b/>
          <w:bCs/>
          <w:color w:val="2C3E50"/>
          <w:sz w:val="22"/>
          <w:szCs w:val="22"/>
        </w:rPr>
        <w:t xml:space="preserve">Workforce Capacity Gaps: </w:t>
      </w:r>
      <w:r>
        <w:rPr>
          <w:rFonts w:ascii="Arial" w:cs="Arial" w:eastAsia="Arial" w:hAnsi="Arial"/>
          <w:color w:val="2C3E50"/>
          <w:sz w:val="22"/>
          <w:szCs w:val="22"/>
        </w:rPr>
        <w:t xml:space="preserve">Over 80% of Anganwadi Workers (AWWs) lack structured training on developmental screening tools. Performance metrics for CDPOs and supervisors are absent.</w:t>
      </w:r>
    </w:p>
    <w:p>
      <w:pPr>
        <w:pStyle w:val="Heading2"/>
        <w:spacing w:before="280" w:after="160"/>
      </w:pPr>
      <w:r>
        <w:rPr>
          <w:rFonts w:ascii="Arial" w:cs="Arial" w:eastAsia="Arial" w:hAnsi="Arial"/>
          <w:b/>
          <w:bCs/>
          <w:color w:val="2E86C1"/>
          <w:sz w:val="26"/>
          <w:szCs w:val="26"/>
        </w:rPr>
        <w:t xml:space="preserve">2.3 Research Gap</w:t>
      </w:r>
    </w:p>
    <w:p>
      <w:pPr>
        <w:spacing w:after="120" w:line="276"/>
        <w:jc w:val="both"/>
      </w:pPr>
      <w:r>
        <w:rPr>
          <w:rFonts w:ascii="Arial" w:cs="Arial" w:eastAsia="Arial" w:hAnsi="Arial"/>
          <w:color w:val="2C3E50"/>
          <w:sz w:val="22"/>
          <w:szCs w:val="22"/>
        </w:rPr>
        <w:t xml:space="preserve">Existing ICDS digital systems such as POSHAN Tracker capture anthropometric data but lack AI-driven developmental risk stratification, geo-analytics, and automated referral workflows. This project bridges that gap by combining machine learning with standardized assessment tools (ASQ-3 and DASII) to create a comprehensive decision-support system.</w:t>
      </w:r>
    </w:p>
    <w:p>
      <w:r>
        <w:br w:type="page"/>
      </w:r>
    </w:p>
    <w:p>
      <w:pPr>
        <w:pStyle w:val="Heading1"/>
        <w:spacing w:before="360" w:after="200"/>
      </w:pPr>
      <w:r>
        <w:rPr>
          <w:rFonts w:ascii="Arial" w:cs="Arial" w:eastAsia="Arial" w:hAnsi="Arial"/>
          <w:b/>
          <w:bCs/>
          <w:color w:val="1B4F72"/>
          <w:sz w:val="32"/>
          <w:szCs w:val="32"/>
        </w:rPr>
        <w:t xml:space="preserve">3. System Architecture &amp; Tech Stack</w:t>
      </w:r>
    </w:p>
    <w:p>
      <w:pPr>
        <w:pStyle w:val="Heading2"/>
        <w:spacing w:before="280" w:after="160"/>
      </w:pPr>
      <w:r>
        <w:rPr>
          <w:rFonts w:ascii="Arial" w:cs="Arial" w:eastAsia="Arial" w:hAnsi="Arial"/>
          <w:b/>
          <w:bCs/>
          <w:color w:val="2E86C1"/>
          <w:sz w:val="26"/>
          <w:szCs w:val="26"/>
        </w:rPr>
        <w:t xml:space="preserve">3.1 Architecture Overview</w:t>
      </w:r>
    </w:p>
    <w:p>
      <w:pPr>
        <w:spacing w:after="120" w:line="276"/>
        <w:jc w:val="both"/>
      </w:pPr>
      <w:r>
        <w:rPr>
          <w:rFonts w:ascii="Arial" w:cs="Arial" w:eastAsia="Arial" w:hAnsi="Arial"/>
          <w:color w:val="2C3E50"/>
          <w:sz w:val="22"/>
          <w:szCs w:val="22"/>
        </w:rPr>
        <w:t xml:space="preserve">The system follows a layered architecture with clear separation of concerns across six layers: Presentation Layer (React.js Dashboard), API Gateway with Authentication, Business Logic Layer, AI/ML Engine, Data Layer (Dual Database), and External Services integration. Each layer communicates through well-defined REST API contracts, enabling independent development and scaling.</w:t>
      </w:r>
    </w:p>
    <w:p>
      <w:pPr>
        <w:pStyle w:val="Heading2"/>
        <w:spacing w:before="280" w:after="160"/>
      </w:pPr>
      <w:r>
        <w:rPr>
          <w:rFonts w:ascii="Arial" w:cs="Arial" w:eastAsia="Arial" w:hAnsi="Arial"/>
          <w:b/>
          <w:bCs/>
          <w:color w:val="2E86C1"/>
          <w:sz w:val="26"/>
          <w:szCs w:val="26"/>
        </w:rPr>
        <w:t xml:space="preserve">3.2 Technology Stack</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w:t>
            </w:r>
          </w:p>
        </w:tc>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Technology</w:t>
            </w:r>
          </w:p>
        </w:tc>
        <w:tc>
          <w:tcPr>
            <w:tcW w:type="dxa" w:w="55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Why We Chose It</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Backend Runtime</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Node.js (v18+)</w:t>
            </w:r>
          </w:p>
        </w:tc>
        <w:tc>
          <w:tcPr>
            <w:tcW w:type="dxa" w:w="5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Event-driven, non-blocking I/O ideal for real-time dashboards. Large NPM ecosystem for rapid development.</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Web Framework</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Express.js (v4.21)</w:t>
            </w:r>
          </w:p>
        </w:tc>
        <w:tc>
          <w:tcPr>
            <w:tcW w:type="dxa" w:w="5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Minimal, flexible HTTP framework. Middleware architecture enables clean separation of auth, validation, and error handling.</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Document Database</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MongoDB (v7+)</w:t>
            </w:r>
          </w:p>
        </w:tc>
        <w:tc>
          <w:tcPr>
            <w:tcW w:type="dxa" w:w="5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Schema-flexible storage for screening records, referrals, and child profiles. Powerful aggregation pipeline for dashboard analytics.</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Relational Database</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PostgreSQL (v18)</w:t>
            </w:r>
          </w:p>
        </w:tc>
        <w:tc>
          <w:tcPr>
            <w:tcW w:type="dxa" w:w="5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ACID-compliant storage for structured data: users, centres, districts. Strong geospatial support for map analytics.</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ORM (PostgreSQL)</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Sequelize (v6.37)</w:t>
            </w:r>
          </w:p>
        </w:tc>
        <w:tc>
          <w:tcPr>
            <w:tcW w:type="dxa" w:w="5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Model definitions with validations, hooks for password hashing, and migration support. Simplifies complex SQL operations.</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ODM (MongoDB)</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Mongoose (v8.6)</w:t>
            </w:r>
          </w:p>
        </w:tc>
        <w:tc>
          <w:tcPr>
            <w:tcW w:type="dxa" w:w="5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Schema validation, virtuals (age calculation), middleware hooks, and indexed queries for fast aggregation.</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Authentication</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JWT (jsonwebtoken)</w:t>
            </w:r>
          </w:p>
        </w:tc>
        <w:tc>
          <w:tcPr>
            <w:tcW w:type="dxa" w:w="5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Stateless token-based auth. 7 role types with granular route-level access control. Tokens expire after 7 days.</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Password Hashing</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bcryptjs</w:t>
            </w:r>
          </w:p>
        </w:tc>
        <w:tc>
          <w:tcPr>
            <w:tcW w:type="dxa" w:w="5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Industry-standard password hashing with 12 salt rounds. Timing-safe comparison prevents timing attacks.</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Security Headers</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Helmet.js</w:t>
            </w:r>
          </w:p>
        </w:tc>
        <w:tc>
          <w:tcPr>
            <w:tcW w:type="dxa" w:w="5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Sets 15+ HTTP security headers including CSP, HSTS, X-Frame-Options. Essential for production deployment.</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Rate Limiting</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express-rate-limit</w:t>
            </w:r>
          </w:p>
        </w:tc>
        <w:tc>
          <w:tcPr>
            <w:tcW w:type="dxa" w:w="5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Prevents brute-force attacks and API abuse. Configured at 100 requests per 15-minute window.</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CORS</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cors</w:t>
            </w:r>
          </w:p>
        </w:tc>
        <w:tc>
          <w:tcPr>
            <w:tcW w:type="dxa" w:w="5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Cross-Origin Resource Sharing for frontend-backend communication. Configurable per environment.</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Logging</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Morgan</w:t>
            </w:r>
          </w:p>
        </w:tc>
        <w:tc>
          <w:tcPr>
            <w:tcW w:type="dxa" w:w="5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HTTP request logging in development mode. Helps debug API calls and track performance.</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Process Manager</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Nodemon</w:t>
            </w:r>
          </w:p>
        </w:tc>
        <w:tc>
          <w:tcPr>
            <w:tcW w:type="dxa" w:w="5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Auto-restarts server on file changes during development. Watches all JS/JSON files.</w:t>
            </w:r>
          </w:p>
        </w:tc>
      </w:tr>
    </w:tbl>
    <w:p>
      <w:pPr>
        <w:spacing w:after="80"/>
      </w:pPr>
    </w:p>
    <w:p>
      <w:pPr>
        <w:pStyle w:val="Heading2"/>
        <w:spacing w:before="280" w:after="160"/>
      </w:pPr>
      <w:r>
        <w:rPr>
          <w:rFonts w:ascii="Arial" w:cs="Arial" w:eastAsia="Arial" w:hAnsi="Arial"/>
          <w:b/>
          <w:bCs/>
          <w:color w:val="2E86C1"/>
          <w:sz w:val="26"/>
          <w:szCs w:val="26"/>
        </w:rPr>
        <w:t xml:space="preserve">3.3 Project Structure</w:t>
      </w:r>
    </w:p>
    <w:p>
      <w:pPr>
        <w:spacing w:after="120" w:line="276"/>
        <w:jc w:val="both"/>
      </w:pPr>
      <w:r>
        <w:rPr>
          <w:rFonts w:ascii="Arial" w:cs="Arial" w:eastAsia="Arial" w:hAnsi="Arial"/>
          <w:color w:val="2C3E50"/>
          <w:sz w:val="22"/>
          <w:szCs w:val="22"/>
        </w:rPr>
        <w:t xml:space="preserve">The project follows a modular MVC-inspired architecture with clear separation between models, routes, middleware, utilities, and configuration. This structure supports team collaboration where multiple developers can work on different modules simultaneously without merge conflicts.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File / Directory</w:t>
            </w:r>
          </w:p>
        </w:tc>
        <w:tc>
          <w:tcPr>
            <w:tcW w:type="dxa" w:w="65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server.js</w:t>
            </w:r>
          </w:p>
        </w:tc>
        <w:tc>
          <w:tcPr>
            <w:tcW w:type="dxa" w:w="6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Application entry point. Initializes Express, connects both databases, registers all middleware and routes.</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config/db.js</w:t>
            </w:r>
          </w:p>
        </w:tc>
        <w:tc>
          <w:tcPr>
            <w:tcW w:type="dxa" w:w="6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Dual database configuration. Manages MongoDB (Mongoose) and PostgreSQL (Sequelize) connections with connection pooling.</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models/</w:t>
            </w:r>
          </w:p>
        </w:tc>
        <w:tc>
          <w:tcPr>
            <w:tcW w:type="dxa" w:w="6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5 data models split across databases. MongoDB: Child, ScreeningRecord, Referral. PostgreSQL: User, AnganwadiCentre.</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routes/</w:t>
            </w:r>
          </w:p>
        </w:tc>
        <w:tc>
          <w:tcPr>
            <w:tcW w:type="dxa" w:w="6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4 route modules with 28+ endpoints. Auth, Children, Referrals, and Dashboard routes with role-based access control.</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middleware/</w:t>
            </w:r>
          </w:p>
        </w:tc>
        <w:tc>
          <w:tcPr>
            <w:tcW w:type="dxa" w:w="6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Auth middleware (JWT verification + role authorization) and global error handler with database-specific error parsing.</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utils/riskCalculator.js</w:t>
            </w:r>
          </w:p>
        </w:tc>
        <w:tc>
          <w:tcPr>
            <w:tcW w:type="dxa" w:w="6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Core AI engine. 750+ lines implementing 5-domain ASQ-3 developmental risk assessment with age normalization.</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seeds/seedAll.js</w:t>
            </w:r>
          </w:p>
        </w:tc>
        <w:tc>
          <w:tcPr>
            <w:tcW w:type="dxa" w:w="6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Data seeding script generating realistic demo data for 13 AP districts with proper statistical distributions.</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.env</w:t>
            </w:r>
          </w:p>
        </w:tc>
        <w:tc>
          <w:tcPr>
            <w:tcW w:type="dxa" w:w="6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Environment configuration for database credentials, JWT secrets, rate limits, and CORS settings.</w:t>
            </w:r>
          </w:p>
        </w:tc>
      </w:tr>
    </w:tbl>
    <w:p>
      <w:r>
        <w:br w:type="page"/>
      </w:r>
    </w:p>
    <w:p>
      <w:pPr>
        <w:pStyle w:val="Heading1"/>
        <w:spacing w:before="360" w:after="200"/>
      </w:pPr>
      <w:r>
        <w:rPr>
          <w:rFonts w:ascii="Arial" w:cs="Arial" w:eastAsia="Arial" w:hAnsi="Arial"/>
          <w:b/>
          <w:bCs/>
          <w:color w:val="1B4F72"/>
          <w:sz w:val="32"/>
          <w:szCs w:val="32"/>
        </w:rPr>
        <w:t xml:space="preserve">4. Database Design (Dual-Database Architecture)</w:t>
      </w:r>
    </w:p>
    <w:p>
      <w:pPr>
        <w:pStyle w:val="Heading2"/>
        <w:spacing w:before="280" w:after="160"/>
      </w:pPr>
      <w:r>
        <w:rPr>
          <w:rFonts w:ascii="Arial" w:cs="Arial" w:eastAsia="Arial" w:hAnsi="Arial"/>
          <w:b/>
          <w:bCs/>
          <w:color w:val="2E86C1"/>
          <w:sz w:val="26"/>
          <w:szCs w:val="26"/>
        </w:rPr>
        <w:t xml:space="preserve">4.1 Why Two Databases?</w:t>
      </w:r>
    </w:p>
    <w:p>
      <w:pPr>
        <w:spacing w:after="120" w:line="276"/>
        <w:jc w:val="both"/>
      </w:pPr>
      <w:r>
        <w:rPr>
          <w:rFonts w:ascii="Arial" w:cs="Arial" w:eastAsia="Arial" w:hAnsi="Arial"/>
          <w:color w:val="2C3E50"/>
          <w:sz w:val="22"/>
          <w:szCs w:val="22"/>
        </w:rPr>
        <w:t xml:space="preserve">The system uses a dual-database architecture combining MongoDB and PostgreSQL, each optimized for different data patterns. This is not complexity for its own sake — it directly addresses the data characteristics of an ICDS monitoring system.</w:t>
      </w:r>
    </w:p>
    <w:p>
      <w:pPr>
        <w:spacing w:after="120" w:line="276"/>
      </w:pPr>
      <w:r>
        <w:rPr>
          <w:rFonts w:ascii="Arial" w:cs="Arial" w:eastAsia="Arial" w:hAnsi="Arial"/>
          <w:b/>
          <w:bCs/>
          <w:color w:val="2C3E50"/>
          <w:sz w:val="22"/>
          <w:szCs w:val="22"/>
        </w:rPr>
        <w:t xml:space="preserve">PostgreSQL handles structured, relational data: </w:t>
      </w:r>
      <w:r>
        <w:rPr>
          <w:rFonts w:ascii="Arial" w:cs="Arial" w:eastAsia="Arial" w:hAnsi="Arial"/>
          <w:color w:val="2C3E50"/>
          <w:sz w:val="22"/>
          <w:szCs w:val="22"/>
        </w:rPr>
        <w:t xml:space="preserve">Users with role hierarchies, Anganwadi Centres with geographic coordinates and administrative hierarchies (state → district → mandal → village), and cross-referential data that benefits from ACID transactions and foreign key constraints.</w:t>
      </w:r>
    </w:p>
    <w:p>
      <w:pPr>
        <w:spacing w:after="120" w:line="276"/>
      </w:pPr>
      <w:r>
        <w:rPr>
          <w:rFonts w:ascii="Arial" w:cs="Arial" w:eastAsia="Arial" w:hAnsi="Arial"/>
          <w:b/>
          <w:bCs/>
          <w:color w:val="2C3E50"/>
          <w:sz w:val="22"/>
          <w:szCs w:val="22"/>
        </w:rPr>
        <w:t xml:space="preserve">MongoDB handles document-oriented, variable-schema data: </w:t>
      </w:r>
      <w:r>
        <w:rPr>
          <w:rFonts w:ascii="Arial" w:cs="Arial" w:eastAsia="Arial" w:hAnsi="Arial"/>
          <w:color w:val="2C3E50"/>
          <w:sz w:val="22"/>
          <w:szCs w:val="22"/>
        </w:rPr>
        <w:t xml:space="preserve">Child profiles with nested anthropometric measurements that grow over time, screening records with variable numbers of domain assessments, and referral documents with dynamic notification histories. These documents vary in shape between children and over time, making rigid SQL schemas impractical.</w:t>
      </w:r>
    </w:p>
    <w:p>
      <w:pPr>
        <w:pStyle w:val="Heading2"/>
        <w:spacing w:before="280" w:after="160"/>
      </w:pPr>
      <w:r>
        <w:rPr>
          <w:rFonts w:ascii="Arial" w:cs="Arial" w:eastAsia="Arial" w:hAnsi="Arial"/>
          <w:b/>
          <w:bCs/>
          <w:color w:val="2E86C1"/>
          <w:sz w:val="26"/>
          <w:szCs w:val="26"/>
        </w:rPr>
        <w:t xml:space="preserve">4.2 PostgreSQL Models</w:t>
      </w:r>
    </w:p>
    <w:p>
      <w:pPr>
        <w:spacing w:before="200" w:after="120"/>
      </w:pPr>
      <w:r>
        <w:rPr>
          <w:rFonts w:ascii="Arial" w:cs="Arial" w:eastAsia="Arial" w:hAnsi="Arial"/>
          <w:b/>
          <w:bCs/>
          <w:color w:val="17A589"/>
          <w:sz w:val="22"/>
          <w:szCs w:val="22"/>
        </w:rPr>
        <w:t xml:space="preserve">User Model</w:t>
      </w:r>
    </w:p>
    <w:p>
      <w:pPr>
        <w:spacing w:after="120" w:line="276"/>
        <w:jc w:val="both"/>
      </w:pPr>
      <w:r>
        <w:rPr>
          <w:rFonts w:ascii="Arial" w:cs="Arial" w:eastAsia="Arial" w:hAnsi="Arial"/>
          <w:color w:val="2C3E50"/>
          <w:sz w:val="22"/>
          <w:szCs w:val="22"/>
        </w:rPr>
        <w:t xml:space="preserve">The User model stores all system actors with role-based access control. It supports 7 roles matching the ICDS organizational hierarchy: admin, cdpo (Child Development Project Officer), supervisor, aww (Anganwadi Worker), anm (Auxiliary Nurse Midwife), asha (Accredited Social Health Activist), and parent. Password hashing is handled automatically through Sequelize hooks using bcrypt with 12 salt rounds. The model includes training status tracking (completed, mode) to support the Workforce Performance dashboard from PPT Slide 8.</w:t>
      </w:r>
    </w:p>
    <w:p>
      <w:pPr>
        <w:spacing w:before="200" w:after="120"/>
      </w:pPr>
      <w:r>
        <w:rPr>
          <w:rFonts w:ascii="Arial" w:cs="Arial" w:eastAsia="Arial" w:hAnsi="Arial"/>
          <w:b/>
          <w:bCs/>
          <w:color w:val="17A589"/>
          <w:sz w:val="22"/>
          <w:szCs w:val="22"/>
        </w:rPr>
        <w:t xml:space="preserve">AnganwadiCentre Model</w:t>
      </w:r>
    </w:p>
    <w:p>
      <w:pPr>
        <w:spacing w:after="120" w:line="276"/>
        <w:jc w:val="both"/>
      </w:pPr>
      <w:r>
        <w:rPr>
          <w:rFonts w:ascii="Arial" w:cs="Arial" w:eastAsia="Arial" w:hAnsi="Arial"/>
          <w:color w:val="2C3E50"/>
          <w:sz w:val="22"/>
          <w:szCs w:val="22"/>
        </w:rPr>
        <w:t xml:space="preserve">Each centre stores its geographic coordinates (latitude/longitude with 7-decimal precision for Leaflet.js map rendering), administrative hierarchy (state, district, mandal, village), capacity metrics, and computed performance indicators (screeningCoverage, riskScore, riskLevel). The centre code follows the format AWC-DIS-0001 where DIS is a 3-letter district abbreviation. This model directly powers the Geo-Analytic Risk Map dashboard from PPT Slide 9.</w:t>
      </w:r>
    </w:p>
    <w:p>
      <w:pPr>
        <w:pStyle w:val="Heading2"/>
        <w:spacing w:before="280" w:after="160"/>
      </w:pPr>
      <w:r>
        <w:rPr>
          <w:rFonts w:ascii="Arial" w:cs="Arial" w:eastAsia="Arial" w:hAnsi="Arial"/>
          <w:b/>
          <w:bCs/>
          <w:color w:val="2E86C1"/>
          <w:sz w:val="26"/>
          <w:szCs w:val="26"/>
        </w:rPr>
        <w:t xml:space="preserve">4.3 MongoDB Models</w:t>
      </w:r>
    </w:p>
    <w:p>
      <w:pPr>
        <w:spacing w:before="200" w:after="120"/>
      </w:pPr>
      <w:r>
        <w:rPr>
          <w:rFonts w:ascii="Arial" w:cs="Arial" w:eastAsia="Arial" w:hAnsi="Arial"/>
          <w:b/>
          <w:bCs/>
          <w:color w:val="17A589"/>
          <w:sz w:val="22"/>
          <w:szCs w:val="22"/>
        </w:rPr>
        <w:t xml:space="preserve">Child Model</w:t>
      </w:r>
    </w:p>
    <w:p>
      <w:pPr>
        <w:spacing w:after="120" w:line="276"/>
        <w:jc w:val="both"/>
      </w:pPr>
      <w:r>
        <w:rPr>
          <w:rFonts w:ascii="Arial" w:cs="Arial" w:eastAsia="Arial" w:hAnsi="Arial"/>
          <w:color w:val="2C3E50"/>
          <w:sz w:val="22"/>
          <w:szCs w:val="22"/>
        </w:rPr>
        <w:t xml:space="preserve">The Child model is the central entity linking all screening and referral data. It stores identity, parent/guardian contact, location mapping (linked to PostgreSQL centre via UUID), nested anthropometric measurements array (allowing longitudinal tracking), and a currentRisk subdocument with composite scores across all 5 developmental domains. Virtual fields compute ageInMonths and ageBand dynamically from dateOfBirth, enabling age-band grouping in dashboard queries without storing redundant data. Strategic indexes on centreId, district, risk level, and screening date ensure sub-second query performance on datasets exceeding 100,000 records.</w:t>
      </w:r>
    </w:p>
    <w:p>
      <w:pPr>
        <w:spacing w:before="200" w:after="120"/>
      </w:pPr>
      <w:r>
        <w:rPr>
          <w:rFonts w:ascii="Arial" w:cs="Arial" w:eastAsia="Arial" w:hAnsi="Arial"/>
          <w:b/>
          <w:bCs/>
          <w:color w:val="17A589"/>
          <w:sz w:val="22"/>
          <w:szCs w:val="22"/>
        </w:rPr>
        <w:t xml:space="preserve">ScreeningRecord Model</w:t>
      </w:r>
    </w:p>
    <w:p>
      <w:pPr>
        <w:spacing w:after="120" w:line="276"/>
        <w:jc w:val="both"/>
      </w:pPr>
      <w:r>
        <w:rPr>
          <w:rFonts w:ascii="Arial" w:cs="Arial" w:eastAsia="Arial" w:hAnsi="Arial"/>
          <w:color w:val="2C3E50"/>
          <w:sz w:val="22"/>
          <w:szCs w:val="22"/>
        </w:rPr>
        <w:t xml:space="preserve">Each screening session generates an immutable record capturing the child’s age at screening, domain-by-domain assessments (milestones expected vs achieved, raw scores, percentiles, z-scores, domain risk classification), composite results, and referral recommendations. This separation from the Child model enables longitudinal analysis — comparing a child’s screening results over multiple visits to detect progressive delays or improvements.</w:t>
      </w:r>
    </w:p>
    <w:p>
      <w:pPr>
        <w:spacing w:before="200" w:after="120"/>
      </w:pPr>
      <w:r>
        <w:rPr>
          <w:rFonts w:ascii="Arial" w:cs="Arial" w:eastAsia="Arial" w:hAnsi="Arial"/>
          <w:b/>
          <w:bCs/>
          <w:color w:val="17A589"/>
          <w:sz w:val="22"/>
          <w:szCs w:val="22"/>
        </w:rPr>
        <w:t xml:space="preserve">Referral Model</w:t>
      </w:r>
    </w:p>
    <w:p>
      <w:pPr>
        <w:spacing w:after="120" w:line="276"/>
        <w:jc w:val="both"/>
      </w:pPr>
      <w:r>
        <w:rPr>
          <w:rFonts w:ascii="Arial" w:cs="Arial" w:eastAsia="Arial" w:hAnsi="Arial"/>
          <w:color w:val="2C3E50"/>
          <w:sz w:val="22"/>
          <w:szCs w:val="22"/>
        </w:rPr>
        <w:t xml:space="preserve">The Referral model implements a full lifecycle tracking system with auto-generated human-readable codes (REF-1001, REF-1002), urgency classification (routine/urgent/emergency), SLA deadline auto-calculation based on urgency (3 days for emergency, 7 for urgent, 30 for routine), status pipeline tracking (pending → in_progress → completed), and notification history. A pre-save hook automatically marks referrals as overdue when their SLA deadline passes, ensuring the urgency queue dashboard always reflects current status.</w:t>
      </w:r>
    </w:p>
    <w:p>
      <w:r>
        <w:br w:type="page"/>
      </w:r>
    </w:p>
    <w:p>
      <w:pPr>
        <w:pStyle w:val="Heading1"/>
        <w:spacing w:before="360" w:after="200"/>
      </w:pPr>
      <w:r>
        <w:rPr>
          <w:rFonts w:ascii="Arial" w:cs="Arial" w:eastAsia="Arial" w:hAnsi="Arial"/>
          <w:b/>
          <w:bCs/>
          <w:color w:val="1B4F72"/>
          <w:sz w:val="32"/>
          <w:szCs w:val="32"/>
        </w:rPr>
        <w:t xml:space="preserve">5. AI Risk Assessment Engine (ASQ-3)</w:t>
      </w:r>
    </w:p>
    <w:p>
      <w:pPr>
        <w:pStyle w:val="Heading2"/>
        <w:spacing w:before="280" w:after="160"/>
      </w:pPr>
      <w:r>
        <w:rPr>
          <w:rFonts w:ascii="Arial" w:cs="Arial" w:eastAsia="Arial" w:hAnsi="Arial"/>
          <w:b/>
          <w:bCs/>
          <w:color w:val="2E86C1"/>
          <w:sz w:val="26"/>
          <w:szCs w:val="26"/>
        </w:rPr>
        <w:t xml:space="preserve">5.1 Overview</w:t>
      </w:r>
    </w:p>
    <w:p>
      <w:pPr>
        <w:spacing w:after="120" w:line="276"/>
        <w:jc w:val="both"/>
      </w:pPr>
      <w:r>
        <w:rPr>
          <w:rFonts w:ascii="Arial" w:cs="Arial" w:eastAsia="Arial" w:hAnsi="Arial"/>
          <w:color w:val="2C3E50"/>
          <w:sz w:val="22"/>
          <w:szCs w:val="22"/>
        </w:rPr>
        <w:t xml:space="preserve">The risk assessment engine is the core intelligence of the system, implementing a multi-domain developmental screening framework aligned with the Ages &amp; Stages Questionnaire, Third Edition (ASQ-3) and adapted with normative adjustments from the Developmental Assessment Scale for Indian Infants (DASII). The engine replaces the original 3-factor rule-based calculator with a comprehensive 750+ line assessment system spanning 6 age bands and 5 developmental domains.</w:t>
      </w:r>
    </w:p>
    <w:p>
      <w:pPr>
        <w:pStyle w:val="Heading2"/>
        <w:spacing w:before="280" w:after="160"/>
      </w:pPr>
      <w:r>
        <w:rPr>
          <w:rFonts w:ascii="Arial" w:cs="Arial" w:eastAsia="Arial" w:hAnsi="Arial"/>
          <w:b/>
          <w:bCs/>
          <w:color w:val="2E86C1"/>
          <w:sz w:val="26"/>
          <w:szCs w:val="26"/>
        </w:rPr>
        <w:t xml:space="preserve">5.2 Assessment Domains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6160"/>
      </w:tblGrid>
      <w:t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Domain</w:t>
            </w:r>
          </w:p>
        </w:tc>
        <w:tc>
          <w:tcPr>
            <w:tcW w:type="dxa" w:w="1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Weight</w:t>
            </w:r>
          </w:p>
        </w:tc>
        <w:tc>
          <w:tcPr>
            <w:tcW w:type="dxa" w:w="6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Gross Motor (GM)</w:t>
            </w:r>
          </w:p>
        </w:tc>
        <w:tc>
          <w:tcPr>
            <w:tcW w:type="dxa" w:w="1000"/>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18%</w:t>
            </w:r>
          </w:p>
        </w:tc>
        <w:tc>
          <w:tcPr>
            <w:tcW w:type="dxa" w:w="6160"/>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Large body movements: walking, running, climbing, balance. Weight: 0.18 in composite score.</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Fine Motor (FM)</w:t>
            </w:r>
          </w:p>
        </w:tc>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17%</w:t>
            </w:r>
          </w:p>
        </w:tc>
        <w:tc>
          <w:tcPr>
            <w:tcW w:type="dxa" w:w="6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Hand-eye coordination: grasping, stacking, writing. Weight: 0.17 in composite score.</w:t>
            </w:r>
          </w:p>
        </w:tc>
      </w:tr>
      <w:tr>
        <w:tc>
          <w:tcPr>
            <w:tcW w:type="dxa" w:w="2200"/>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Language (LC)</w:t>
            </w:r>
          </w:p>
        </w:tc>
        <w:tc>
          <w:tcPr>
            <w:tcW w:type="dxa" w:w="1000"/>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25%</w:t>
            </w:r>
          </w:p>
        </w:tc>
        <w:tc>
          <w:tcPr>
            <w:tcW w:type="dxa" w:w="6160"/>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Speech, comprehension, vocabulary, sentence formation. Highest weight (0.25) due to 22.8% delay prevalence.</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Cognitive (COG)</w:t>
            </w:r>
          </w:p>
        </w:tc>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22%</w:t>
            </w:r>
          </w:p>
        </w:tc>
        <w:tc>
          <w:tcPr>
            <w:tcW w:type="dxa" w:w="6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Problem-solving, memory, cause-effect understanding. Weight: 0.22 in composite score.</w:t>
            </w:r>
          </w:p>
        </w:tc>
      </w:tr>
      <w:tr>
        <w:tc>
          <w:tcPr>
            <w:tcW w:type="dxa" w:w="2200"/>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Socio-Emotional (SE)</w:t>
            </w:r>
          </w:p>
        </w:tc>
        <w:tc>
          <w:tcPr>
            <w:tcW w:type="dxa" w:w="1000"/>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18%</w:t>
            </w:r>
          </w:p>
        </w:tc>
        <w:tc>
          <w:tcPr>
            <w:tcW w:type="dxa" w:w="6160"/>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Social interaction, emotional regulation, empathy. Weight: 0.18 in composite score.</w:t>
            </w:r>
          </w:p>
        </w:tc>
      </w:tr>
    </w:tbl>
    <w:p>
      <w:pPr>
        <w:spacing w:after="80"/>
      </w:pPr>
    </w:p>
    <w:p>
      <w:pPr>
        <w:pStyle w:val="Heading2"/>
        <w:spacing w:before="280" w:after="160"/>
      </w:pPr>
      <w:r>
        <w:rPr>
          <w:rFonts w:ascii="Arial" w:cs="Arial" w:eastAsia="Arial" w:hAnsi="Arial"/>
          <w:b/>
          <w:bCs/>
          <w:color w:val="2E86C1"/>
          <w:sz w:val="26"/>
          <w:szCs w:val="26"/>
        </w:rPr>
        <w:t xml:space="preserve">5.3 Age Bands &amp; Milestone Database</w:t>
      </w:r>
    </w:p>
    <w:p>
      <w:pPr>
        <w:spacing w:after="120" w:line="276"/>
        <w:jc w:val="both"/>
      </w:pPr>
      <w:r>
        <w:rPr>
          <w:rFonts w:ascii="Arial" w:cs="Arial" w:eastAsia="Arial" w:hAnsi="Arial"/>
          <w:color w:val="2C3E50"/>
          <w:sz w:val="22"/>
          <w:szCs w:val="22"/>
        </w:rPr>
        <w:t xml:space="preserve">The engine maintains a comprehensive milestone database spanning 6 age bands: 0–6 months, 7–12 months, 13–24 months, 25–36 months, 37–48 months, and 49–72 months. Each age band defines 3–5 expected milestones per domain, resulting in approximately 120 individual developmental milestones. Critical milestones (such as “Walks independently” at 13–24 months or “Uses 10+ single words” at 13–24 months) are flagged to automatically escalate risk classification if missed.</w:t>
      </w:r>
    </w:p>
    <w:p>
      <w:pPr>
        <w:pStyle w:val="Heading2"/>
        <w:spacing w:before="280" w:after="160"/>
      </w:pPr>
      <w:r>
        <w:rPr>
          <w:rFonts w:ascii="Arial" w:cs="Arial" w:eastAsia="Arial" w:hAnsi="Arial"/>
          <w:b/>
          <w:bCs/>
          <w:color w:val="2E86C1"/>
          <w:sz w:val="26"/>
          <w:szCs w:val="26"/>
        </w:rPr>
        <w:t xml:space="preserve">5.4 Scoring Methodology</w:t>
      </w:r>
    </w:p>
    <w:p>
      <w:pPr>
        <w:spacing w:after="120" w:line="276"/>
        <w:jc w:val="both"/>
      </w:pPr>
      <w:r>
        <w:rPr>
          <w:rFonts w:ascii="Arial" w:cs="Arial" w:eastAsia="Arial" w:hAnsi="Arial"/>
          <w:color w:val="2C3E50"/>
          <w:sz w:val="22"/>
          <w:szCs w:val="22"/>
        </w:rPr>
        <w:t xml:space="preserve">The scoring pipeline processes assessment data through five stages. First, raw scores are computed as the percentage of expected milestones achieved per domain. Second, these raw scores are converted to age-normalized percentiles using a logistic approximation of the ASQ-3 normative distribution, with DASII adjustments accounting for the 5–8% lower baseline observed in Indian normative contexts compared to Western ASQ-3 norms. Third, percentiles are mapped to domain risk levels using ASQ-3 cutoffs: on_track (40th percentile and above), monitor (25th–39th), at_risk (10th–24th), and delayed (below 10th). Fourth, domain scores are combined using weighted aggregation where language receives the highest weight (0.25) based on the 22.8% delay prevalence identified in the project’s epidemiological data. Fifth, the composite score is adjusted for anthropometric risk factors (underweight, stunted, or wasted children receive score penalties of 5–18 points).</w:t>
      </w:r>
    </w:p>
    <w:p>
      <w:pPr>
        <w:pStyle w:val="Heading2"/>
        <w:spacing w:before="280" w:after="160"/>
      </w:pPr>
      <w:r>
        <w:rPr>
          <w:rFonts w:ascii="Arial" w:cs="Arial" w:eastAsia="Arial" w:hAnsi="Arial"/>
          <w:b/>
          <w:bCs/>
          <w:color w:val="2E86C1"/>
          <w:sz w:val="26"/>
          <w:szCs w:val="26"/>
        </w:rPr>
        <w:t xml:space="preserve">5.5 Risk Classification Logic</w:t>
      </w:r>
    </w:p>
    <w:p>
      <w:pPr>
        <w:spacing w:after="120" w:line="276"/>
        <w:jc w:val="both"/>
      </w:pPr>
      <w:r>
        <w:rPr>
          <w:rFonts w:ascii="Arial" w:cs="Arial" w:eastAsia="Arial" w:hAnsi="Arial"/>
          <w:color w:val="2C3E50"/>
          <w:sz w:val="22"/>
          <w:szCs w:val="22"/>
        </w:rPr>
        <w:t xml:space="preserve">The final risk level determination uses a multi-criteria decision system. A child is classified as “low” risk if their composite score is 40+ with zero flagged domains, “moderate” if the score is 30+ with at most one flagged domain, “high” if the score is 15+ or two or fewer domains are flagged, and “critical” otherwise. Two override rules ensure safety: if any domain shows “delayed” status, the minimum overall risk is “high”, and if three or more domains are flagged, the risk automatically escalates to “critical” regardless of composite score.</w:t>
      </w:r>
    </w:p>
    <w:p>
      <w:pPr>
        <w:pStyle w:val="Heading2"/>
        <w:spacing w:before="280" w:after="160"/>
      </w:pPr>
      <w:r>
        <w:rPr>
          <w:rFonts w:ascii="Arial" w:cs="Arial" w:eastAsia="Arial" w:hAnsi="Arial"/>
          <w:b/>
          <w:bCs/>
          <w:color w:val="2E86C1"/>
          <w:sz w:val="26"/>
          <w:szCs w:val="26"/>
        </w:rPr>
        <w:t xml:space="preserve">5.6 Confidence Scoring</w:t>
      </w:r>
    </w:p>
    <w:p>
      <w:pPr>
        <w:spacing w:after="120" w:line="276"/>
        <w:jc w:val="both"/>
      </w:pPr>
      <w:r>
        <w:rPr>
          <w:rFonts w:ascii="Arial" w:cs="Arial" w:eastAsia="Arial" w:hAnsi="Arial"/>
          <w:color w:val="2C3E50"/>
          <w:sz w:val="22"/>
          <w:szCs w:val="22"/>
        </w:rPr>
        <w:t xml:space="preserve">Each assessment includes a confidence score (0.0–1.0) reflecting data completeness. The confidence calculation weights four factors: domain coverage (all 5 domains assessed = maximum), average milestone coverage per domain, screening history (more prior screenings increase reliability), and critical milestone inclusion. This allows clinicians and supervisors to distinguish between a “high confidence low-risk” result and a “low confidence low-risk” result that may warrant re-screening.</w:t>
      </w:r>
    </w:p>
    <w:p>
      <w:pPr>
        <w:pStyle w:val="Heading2"/>
        <w:spacing w:before="280" w:after="160"/>
      </w:pPr>
      <w:r>
        <w:rPr>
          <w:rFonts w:ascii="Arial" w:cs="Arial" w:eastAsia="Arial" w:hAnsi="Arial"/>
          <w:b/>
          <w:bCs/>
          <w:color w:val="2E86C1"/>
          <w:sz w:val="26"/>
          <w:szCs w:val="26"/>
        </w:rPr>
        <w:t xml:space="preserve">5.7 Referral Automation</w:t>
      </w:r>
    </w:p>
    <w:p>
      <w:pPr>
        <w:spacing w:after="120" w:line="276"/>
        <w:jc w:val="both"/>
      </w:pPr>
      <w:r>
        <w:rPr>
          <w:rFonts w:ascii="Arial" w:cs="Arial" w:eastAsia="Arial" w:hAnsi="Arial"/>
          <w:color w:val="2C3E50"/>
          <w:sz w:val="22"/>
          <w:szCs w:val="22"/>
        </w:rPr>
        <w:t xml:space="preserve">When the risk level is “high” or “critical,” the engine automatically determines the appropriate specialist referral based on which domains are flagged: Speech-Language Pathologist for language delays, Occupational Therapist for motor delays, Developmental Pediatrician for cognitive delays, and Child Psychologist for socio-emotional concerns. The urgency level is set to “emergency” for critical cases (3-day SLA) and “urgent” for high-risk cases (7-day SLA).</w:t>
      </w:r>
    </w:p>
    <w:p>
      <w:pPr>
        <w:pStyle w:val="Heading2"/>
        <w:spacing w:before="280" w:after="160"/>
      </w:pPr>
      <w:r>
        <w:rPr>
          <w:rFonts w:ascii="Arial" w:cs="Arial" w:eastAsia="Arial" w:hAnsi="Arial"/>
          <w:b/>
          <w:bCs/>
          <w:color w:val="2E86C1"/>
          <w:sz w:val="26"/>
          <w:szCs w:val="26"/>
        </w:rPr>
        <w:t xml:space="preserve">5.8 Backward Compatibility</w:t>
      </w:r>
    </w:p>
    <w:p>
      <w:pPr>
        <w:spacing w:after="120" w:line="276"/>
        <w:jc w:val="both"/>
      </w:pPr>
      <w:r>
        <w:rPr>
          <w:rFonts w:ascii="Arial" w:cs="Arial" w:eastAsia="Arial" w:hAnsi="Arial"/>
          <w:color w:val="2C3E50"/>
          <w:sz w:val="22"/>
          <w:szCs w:val="22"/>
        </w:rPr>
        <w:t xml:space="preserve">A calculateRiskQuick() function maintains backward compatibility with the original simple screening format (weight, speechDelay, motorSkills). This function internally maps simplified inputs to the full 5-domain milestone framework, enabling existing field data collection workflows to benefit from the enhanced risk engine without requiring AWWs to learn a new data entry format immediately.</w:t>
      </w:r>
    </w:p>
    <w:p>
      <w:r>
        <w:br w:type="page"/>
      </w:r>
    </w:p>
    <w:p>
      <w:pPr>
        <w:pStyle w:val="Heading1"/>
        <w:spacing w:before="360" w:after="200"/>
      </w:pPr>
      <w:r>
        <w:rPr>
          <w:rFonts w:ascii="Arial" w:cs="Arial" w:eastAsia="Arial" w:hAnsi="Arial"/>
          <w:b/>
          <w:bCs/>
          <w:color w:val="1B4F72"/>
          <w:sz w:val="32"/>
          <w:szCs w:val="32"/>
        </w:rPr>
        <w:t xml:space="preserve">6. API Architecture &amp; Endpoints</w:t>
      </w:r>
    </w:p>
    <w:p>
      <w:pPr>
        <w:pStyle w:val="Heading2"/>
        <w:spacing w:before="280" w:after="160"/>
      </w:pPr>
      <w:r>
        <w:rPr>
          <w:rFonts w:ascii="Arial" w:cs="Arial" w:eastAsia="Arial" w:hAnsi="Arial"/>
          <w:b/>
          <w:bCs/>
          <w:color w:val="2E86C1"/>
          <w:sz w:val="26"/>
          <w:szCs w:val="26"/>
        </w:rPr>
        <w:t xml:space="preserve">6.1 Endpoint Summary</w:t>
      </w:r>
    </w:p>
    <w:p>
      <w:pPr>
        <w:spacing w:after="120" w:line="276"/>
        <w:jc w:val="both"/>
      </w:pPr>
      <w:r>
        <w:rPr>
          <w:rFonts w:ascii="Arial" w:cs="Arial" w:eastAsia="Arial" w:hAnsi="Arial"/>
          <w:color w:val="2C3E50"/>
          <w:sz w:val="22"/>
          <w:szCs w:val="22"/>
        </w:rPr>
        <w:t xml:space="preserve">The system exposes 28+ RESTful API endpoints organized into four route modules. Every endpoint returns consistent JSON responses with a success boolean, data payload, and descriptive error messages. Pagination is supported on all list endpoints with configurable page size. Each endpoint’s response shape is designed to directly feed the corresponding PPT dashboard visualization without requiring frontend data transformation.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1400"/>
        <w:gridCol w:w="3960"/>
      </w:tblGrid>
      <w:tr>
        <w:tc>
          <w:tcPr>
            <w:tcW w:type="dxa" w:w="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tcW w:type="dxa" w:w="3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Endpoint</w:t>
            </w:r>
          </w:p>
        </w:tc>
        <w:tc>
          <w:tcPr>
            <w:tcW w:type="dxa" w:w="1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Access</w:t>
            </w:r>
          </w:p>
        </w:tc>
        <w:tc>
          <w:tcPr>
            <w:tcW w:type="dxa" w:w="3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center"/>
            </w:pPr>
            <w:r>
              <w:rPr>
                <w:rFonts w:ascii="Arial" w:cs="Arial" w:eastAsia="Arial" w:hAnsi="Arial"/>
                <w:b/>
                <w:bCs/>
                <w:color w:val="2C3E50"/>
                <w:sz w:val="20"/>
                <w:szCs w:val="20"/>
              </w:rPr>
              <w:t xml:space="preserve">POST</w:t>
            </w:r>
          </w:p>
        </w:tc>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/api/auth/login</w:t>
            </w:r>
          </w:p>
        </w:tc>
        <w:tc>
          <w:tcPr>
            <w:tcW w:type="dxa" w:w="1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All</w:t>
            </w:r>
          </w:p>
        </w:tc>
        <w:tc>
          <w:tcPr>
            <w:tcW w:type="dxa" w:w="3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Authenticate and receive JWT token</w:t>
            </w:r>
          </w:p>
        </w:tc>
      </w:tr>
      <w:tr>
        <w:tc>
          <w:tcPr>
            <w:tcW w:type="dxa" w:w="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bCs/>
                <w:color w:val="2C3E50"/>
                <w:sz w:val="20"/>
                <w:szCs w:val="20"/>
              </w:rPr>
              <w:t xml:space="preserve">POST</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/api/auth/register</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All</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Create new user account</w:t>
            </w:r>
          </w:p>
        </w:tc>
      </w:tr>
      <w:tr>
        <w:tc>
          <w:tcPr>
            <w:tcW w:type="dxa" w:w="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center"/>
            </w:pPr>
            <w:r>
              <w:rPr>
                <w:rFonts w:ascii="Arial" w:cs="Arial" w:eastAsia="Arial" w:hAnsi="Arial"/>
                <w:b/>
                <w:bCs/>
                <w:color w:val="2C3E50"/>
                <w:sz w:val="20"/>
                <w:szCs w:val="20"/>
              </w:rPr>
              <w:t xml:space="preserve">GET</w:t>
            </w:r>
          </w:p>
        </w:tc>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/api/auth/me</w:t>
            </w:r>
          </w:p>
        </w:tc>
        <w:tc>
          <w:tcPr>
            <w:tcW w:type="dxa" w:w="1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Auth</w:t>
            </w:r>
          </w:p>
        </w:tc>
        <w:tc>
          <w:tcPr>
            <w:tcW w:type="dxa" w:w="3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Get current user profile</w:t>
            </w:r>
          </w:p>
        </w:tc>
      </w:tr>
      <w:tr>
        <w:tc>
          <w:tcPr>
            <w:tcW w:type="dxa" w:w="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bCs/>
                <w:color w:val="2C3E50"/>
                <w:sz w:val="20"/>
                <w:szCs w:val="20"/>
              </w:rPr>
              <w:t xml:space="preserve">GET</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/api/auth/users</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Admin, CDPO</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List all users with filters</w:t>
            </w:r>
          </w:p>
        </w:tc>
      </w:tr>
      <w:tr>
        <w:tc>
          <w:tcPr>
            <w:tcW w:type="dxa" w:w="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center"/>
            </w:pPr>
            <w:r>
              <w:rPr>
                <w:rFonts w:ascii="Arial" w:cs="Arial" w:eastAsia="Arial" w:hAnsi="Arial"/>
                <w:b/>
                <w:bCs/>
                <w:color w:val="2C3E50"/>
                <w:sz w:val="20"/>
                <w:szCs w:val="20"/>
              </w:rPr>
              <w:t xml:space="preserve">POST</w:t>
            </w:r>
          </w:p>
        </w:tc>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/api/children</w:t>
            </w:r>
          </w:p>
        </w:tc>
        <w:tc>
          <w:tcPr>
            <w:tcW w:type="dxa" w:w="1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AWW+</w:t>
            </w:r>
          </w:p>
        </w:tc>
        <w:tc>
          <w:tcPr>
            <w:tcW w:type="dxa" w:w="3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Register a new child</w:t>
            </w:r>
          </w:p>
        </w:tc>
      </w:tr>
      <w:tr>
        <w:tc>
          <w:tcPr>
            <w:tcW w:type="dxa" w:w="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bCs/>
                <w:color w:val="2C3E50"/>
                <w:sz w:val="20"/>
                <w:szCs w:val="20"/>
              </w:rPr>
              <w:t xml:space="preserve">GET</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/api/children</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Auth</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List children with filters and pagination</w:t>
            </w:r>
          </w:p>
        </w:tc>
      </w:tr>
      <w:tr>
        <w:tc>
          <w:tcPr>
            <w:tcW w:type="dxa" w:w="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center"/>
            </w:pPr>
            <w:r>
              <w:rPr>
                <w:rFonts w:ascii="Arial" w:cs="Arial" w:eastAsia="Arial" w:hAnsi="Arial"/>
                <w:b/>
                <w:bCs/>
                <w:color w:val="2C3E50"/>
                <w:sz w:val="20"/>
                <w:szCs w:val="20"/>
              </w:rPr>
              <w:t xml:space="preserve">GET</w:t>
            </w:r>
          </w:p>
        </w:tc>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/api/children/:id</w:t>
            </w:r>
          </w:p>
        </w:tc>
        <w:tc>
          <w:tcPr>
            <w:tcW w:type="dxa" w:w="1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Auth</w:t>
            </w:r>
          </w:p>
        </w:tc>
        <w:tc>
          <w:tcPr>
            <w:tcW w:type="dxa" w:w="3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Get child full profile with history</w:t>
            </w:r>
          </w:p>
        </w:tc>
      </w:tr>
      <w:tr>
        <w:tc>
          <w:tcPr>
            <w:tcW w:type="dxa" w:w="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bCs/>
                <w:color w:val="2C3E50"/>
                <w:sz w:val="20"/>
                <w:szCs w:val="20"/>
              </w:rPr>
              <w:t xml:space="preserve">POST</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/api/children/:id/screen</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AWW+</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Full 5-domain developmental screening</w:t>
            </w:r>
          </w:p>
        </w:tc>
      </w:tr>
      <w:tr>
        <w:tc>
          <w:tcPr>
            <w:tcW w:type="dxa" w:w="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center"/>
            </w:pPr>
            <w:r>
              <w:rPr>
                <w:rFonts w:ascii="Arial" w:cs="Arial" w:eastAsia="Arial" w:hAnsi="Arial"/>
                <w:b/>
                <w:bCs/>
                <w:color w:val="2C3E50"/>
                <w:sz w:val="20"/>
                <w:szCs w:val="20"/>
              </w:rPr>
              <w:t xml:space="preserve">POST</w:t>
            </w:r>
          </w:p>
        </w:tc>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/api/children/:id/screen-quick</w:t>
            </w:r>
          </w:p>
        </w:tc>
        <w:tc>
          <w:tcPr>
            <w:tcW w:type="dxa" w:w="1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AWW+</w:t>
            </w:r>
          </w:p>
        </w:tc>
        <w:tc>
          <w:tcPr>
            <w:tcW w:type="dxa" w:w="3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Simplified backward-compatible screening</w:t>
            </w:r>
          </w:p>
        </w:tc>
      </w:tr>
      <w:tr>
        <w:tc>
          <w:tcPr>
            <w:tcW w:type="dxa" w:w="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bCs/>
                <w:color w:val="2C3E50"/>
                <w:sz w:val="20"/>
                <w:szCs w:val="20"/>
              </w:rPr>
              <w:t xml:space="preserve">POST</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/api/children/:id/anthropometrics</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AWW+</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Add weight/height measurements</w:t>
            </w:r>
          </w:p>
        </w:tc>
      </w:tr>
      <w:tr>
        <w:tc>
          <w:tcPr>
            <w:tcW w:type="dxa" w:w="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center"/>
            </w:pPr>
            <w:r>
              <w:rPr>
                <w:rFonts w:ascii="Arial" w:cs="Arial" w:eastAsia="Arial" w:hAnsi="Arial"/>
                <w:b/>
                <w:bCs/>
                <w:color w:val="2C3E50"/>
                <w:sz w:val="20"/>
                <w:szCs w:val="20"/>
              </w:rPr>
              <w:t xml:space="preserve">GET</w:t>
            </w:r>
          </w:p>
        </w:tc>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/api/referrals</w:t>
            </w:r>
          </w:p>
        </w:tc>
        <w:tc>
          <w:tcPr>
            <w:tcW w:type="dxa" w:w="1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Auth</w:t>
            </w:r>
          </w:p>
        </w:tc>
        <w:tc>
          <w:tcPr>
            <w:tcW w:type="dxa" w:w="3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List referrals with status/urgency filters</w:t>
            </w:r>
          </w:p>
        </w:tc>
      </w:tr>
      <w:tr>
        <w:tc>
          <w:tcPr>
            <w:tcW w:type="dxa" w:w="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bCs/>
                <w:color w:val="2C3E50"/>
                <w:sz w:val="20"/>
                <w:szCs w:val="20"/>
              </w:rPr>
              <w:t xml:space="preserve">GET</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/api/referrals/urgency-queue</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Supervisor+</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Urgency-sorted referral queue (Slide 7)</w:t>
            </w:r>
          </w:p>
        </w:tc>
      </w:tr>
      <w:tr>
        <w:tc>
          <w:tcPr>
            <w:tcW w:type="dxa" w:w="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center"/>
            </w:pPr>
            <w:r>
              <w:rPr>
                <w:rFonts w:ascii="Arial" w:cs="Arial" w:eastAsia="Arial" w:hAnsi="Arial"/>
                <w:b/>
                <w:bCs/>
                <w:color w:val="2C3E50"/>
                <w:sz w:val="20"/>
                <w:szCs w:val="20"/>
              </w:rPr>
              <w:t xml:space="preserve">PUT</w:t>
            </w:r>
          </w:p>
        </w:tc>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/api/referrals/:id/status</w:t>
            </w:r>
          </w:p>
        </w:tc>
        <w:tc>
          <w:tcPr>
            <w:tcW w:type="dxa" w:w="1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AWW+</w:t>
            </w:r>
          </w:p>
        </w:tc>
        <w:tc>
          <w:tcPr>
            <w:tcW w:type="dxa" w:w="3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Update referral status and outcome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1400"/>
        <w:gridCol w:w="3960"/>
      </w:tblGrid>
      <w:tr>
        <w:tc>
          <w:tcPr>
            <w:tcW w:type="dxa" w:w="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tcW w:type="dxa" w:w="3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Endpoint</w:t>
            </w:r>
          </w:p>
        </w:tc>
        <w:tc>
          <w:tcPr>
            <w:tcW w:type="dxa" w:w="1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Access</w:t>
            </w:r>
          </w:p>
        </w:tc>
        <w:tc>
          <w:tcPr>
            <w:tcW w:type="dxa" w:w="3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center"/>
            </w:pPr>
            <w:r>
              <w:rPr>
                <w:rFonts w:ascii="Arial" w:cs="Arial" w:eastAsia="Arial" w:hAnsi="Arial"/>
                <w:b/>
                <w:bCs/>
                <w:color w:val="2C3E50"/>
                <w:sz w:val="20"/>
                <w:szCs w:val="20"/>
              </w:rPr>
              <w:t xml:space="preserve">POST</w:t>
            </w:r>
          </w:p>
        </w:tc>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/api/referrals/:id/follow-up</w:t>
            </w:r>
          </w:p>
        </w:tc>
        <w:tc>
          <w:tcPr>
            <w:tcW w:type="dxa" w:w="1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AWW+</w:t>
            </w:r>
          </w:p>
        </w:tc>
        <w:tc>
          <w:tcPr>
            <w:tcW w:type="dxa" w:w="3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Add follow-up date to referral</w:t>
            </w:r>
          </w:p>
        </w:tc>
      </w:tr>
      <w:tr>
        <w:tc>
          <w:tcPr>
            <w:tcW w:type="dxa" w:w="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bCs/>
                <w:color w:val="2C3E50"/>
                <w:sz w:val="20"/>
                <w:szCs w:val="20"/>
              </w:rPr>
              <w:t xml:space="preserve">GET</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/api/dashboard/screening/kpis</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Supervisor+</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Screening KPI cards (Slide 5)</w:t>
            </w:r>
          </w:p>
        </w:tc>
      </w:tr>
      <w:tr>
        <w:tc>
          <w:tcPr>
            <w:tcW w:type="dxa" w:w="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center"/>
            </w:pPr>
            <w:r>
              <w:rPr>
                <w:rFonts w:ascii="Arial" w:cs="Arial" w:eastAsia="Arial" w:hAnsi="Arial"/>
                <w:b/>
                <w:bCs/>
                <w:color w:val="2C3E50"/>
                <w:sz w:val="20"/>
                <w:szCs w:val="20"/>
              </w:rPr>
              <w:t xml:space="preserve">GET</w:t>
            </w:r>
          </w:p>
        </w:tc>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/api/dashboard/screening/monthly-trend</w:t>
            </w:r>
          </w:p>
        </w:tc>
        <w:tc>
          <w:tcPr>
            <w:tcW w:type="dxa" w:w="1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Supervisor+</w:t>
            </w:r>
          </w:p>
        </w:tc>
        <w:tc>
          <w:tcPr>
            <w:tcW w:type="dxa" w:w="3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Monthly screening chart data (Slide 5)</w:t>
            </w:r>
          </w:p>
        </w:tc>
      </w:tr>
      <w:tr>
        <w:tc>
          <w:tcPr>
            <w:tcW w:type="dxa" w:w="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bCs/>
                <w:color w:val="2C3E50"/>
                <w:sz w:val="20"/>
                <w:szCs w:val="20"/>
              </w:rPr>
              <w:t xml:space="preserve">GET</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/api/dashboard/screening/by-district</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CDPO+</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AWC performance by district (Slide 5)</w:t>
            </w:r>
          </w:p>
        </w:tc>
      </w:tr>
      <w:tr>
        <w:tc>
          <w:tcPr>
            <w:tcW w:type="dxa" w:w="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center"/>
            </w:pPr>
            <w:r>
              <w:rPr>
                <w:rFonts w:ascii="Arial" w:cs="Arial" w:eastAsia="Arial" w:hAnsi="Arial"/>
                <w:b/>
                <w:bCs/>
                <w:color w:val="2C3E50"/>
                <w:sz w:val="20"/>
                <w:szCs w:val="20"/>
              </w:rPr>
              <w:t xml:space="preserve">GET</w:t>
            </w:r>
          </w:p>
        </w:tc>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/api/dashboard/risk/distribution</w:t>
            </w:r>
          </w:p>
        </w:tc>
        <w:tc>
          <w:tcPr>
            <w:tcW w:type="dxa" w:w="1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Supervisor+</w:t>
            </w:r>
          </w:p>
        </w:tc>
        <w:tc>
          <w:tcPr>
            <w:tcW w:type="dxa" w:w="3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Risk level pie chart data (Slide 6)</w:t>
            </w:r>
          </w:p>
        </w:tc>
      </w:tr>
      <w:tr>
        <w:tc>
          <w:tcPr>
            <w:tcW w:type="dxa" w:w="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bCs/>
                <w:color w:val="2C3E50"/>
                <w:sz w:val="20"/>
                <w:szCs w:val="20"/>
              </w:rPr>
              <w:t xml:space="preserve">GET</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/api/dashboard/risk/by-domain</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Supervisor+</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Domain delay bar chart data (Slide 6)</w:t>
            </w:r>
          </w:p>
        </w:tc>
      </w:tr>
      <w:tr>
        <w:tc>
          <w:tcPr>
            <w:tcW w:type="dxa" w:w="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center"/>
            </w:pPr>
            <w:r>
              <w:rPr>
                <w:rFonts w:ascii="Arial" w:cs="Arial" w:eastAsia="Arial" w:hAnsi="Arial"/>
                <w:b/>
                <w:bCs/>
                <w:color w:val="2C3E50"/>
                <w:sz w:val="20"/>
                <w:szCs w:val="20"/>
              </w:rPr>
              <w:t xml:space="preserve">GET</w:t>
            </w:r>
          </w:p>
        </w:tc>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/api/dashboard/risk/by-age</w:t>
            </w:r>
          </w:p>
        </w:tc>
        <w:tc>
          <w:tcPr>
            <w:tcW w:type="dxa" w:w="1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Supervisor+</w:t>
            </w:r>
          </w:p>
        </w:tc>
        <w:tc>
          <w:tcPr>
            <w:tcW w:type="dxa" w:w="3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Age-band risk table data (Slide 6)</w:t>
            </w:r>
          </w:p>
        </w:tc>
      </w:tr>
      <w:tr>
        <w:tc>
          <w:tcPr>
            <w:tcW w:type="dxa" w:w="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bCs/>
                <w:color w:val="2C3E50"/>
                <w:sz w:val="20"/>
                <w:szCs w:val="20"/>
              </w:rPr>
              <w:t xml:space="preserve">GET</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/api/dashboard/referrals/kpis</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Supervisor+</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Referral KPI cards (Slide 7)</w:t>
            </w:r>
          </w:p>
        </w:tc>
      </w:tr>
      <w:tr>
        <w:tc>
          <w:tcPr>
            <w:tcW w:type="dxa" w:w="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center"/>
            </w:pPr>
            <w:r>
              <w:rPr>
                <w:rFonts w:ascii="Arial" w:cs="Arial" w:eastAsia="Arial" w:hAnsi="Arial"/>
                <w:b/>
                <w:bCs/>
                <w:color w:val="2C3E50"/>
                <w:sz w:val="20"/>
                <w:szCs w:val="20"/>
              </w:rPr>
              <w:t xml:space="preserve">GET</w:t>
            </w:r>
          </w:p>
        </w:tc>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/api/dashboard/referrals/monthly</w:t>
            </w:r>
          </w:p>
        </w:tc>
        <w:tc>
          <w:tcPr>
            <w:tcW w:type="dxa" w:w="1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Supervisor+</w:t>
            </w:r>
          </w:p>
        </w:tc>
        <w:tc>
          <w:tcPr>
            <w:tcW w:type="dxa" w:w="3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Monthly referral chart data (Slide 7)</w:t>
            </w:r>
          </w:p>
        </w:tc>
      </w:tr>
      <w:tr>
        <w:tc>
          <w:tcPr>
            <w:tcW w:type="dxa" w:w="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bCs/>
                <w:color w:val="2C3E50"/>
                <w:sz w:val="20"/>
                <w:szCs w:val="20"/>
              </w:rPr>
              <w:t xml:space="preserve">GET</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/api/dashboard/workforce/summary</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CDPO+</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Workforce capacity matrix (Slide 8)</w:t>
            </w:r>
          </w:p>
        </w:tc>
      </w:tr>
      <w:tr>
        <w:tc>
          <w:tcPr>
            <w:tcW w:type="dxa" w:w="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center"/>
            </w:pPr>
            <w:r>
              <w:rPr>
                <w:rFonts w:ascii="Arial" w:cs="Arial" w:eastAsia="Arial" w:hAnsi="Arial"/>
                <w:b/>
                <w:bCs/>
                <w:color w:val="2C3E50"/>
                <w:sz w:val="20"/>
                <w:szCs w:val="20"/>
              </w:rPr>
              <w:t xml:space="preserve">GET</w:t>
            </w:r>
          </w:p>
        </w:tc>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/api/dashboard/geo/centres</w:t>
            </w:r>
          </w:p>
        </w:tc>
        <w:tc>
          <w:tcPr>
            <w:tcW w:type="dxa" w:w="1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Supervisor+</w:t>
            </w:r>
          </w:p>
        </w:tc>
        <w:tc>
          <w:tcPr>
            <w:tcW w:type="dxa" w:w="3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AWC map markers with coordinates (Slide 9)</w:t>
            </w:r>
          </w:p>
        </w:tc>
      </w:tr>
      <w:tr>
        <w:tc>
          <w:tcPr>
            <w:tcW w:type="dxa" w:w="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bCs/>
                <w:color w:val="2C3E50"/>
                <w:sz w:val="20"/>
                <w:szCs w:val="20"/>
              </w:rPr>
              <w:t xml:space="preserve">GET</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/api/dashboard/geo/district-risk</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CDPO+</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District risk scores bar chart (Slide 9)</w:t>
            </w:r>
          </w:p>
        </w:tc>
      </w:tr>
      <w:tr>
        <w:tc>
          <w:tcPr>
            <w:tcW w:type="dxa" w:w="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center"/>
            </w:pPr>
            <w:r>
              <w:rPr>
                <w:rFonts w:ascii="Arial" w:cs="Arial" w:eastAsia="Arial" w:hAnsi="Arial"/>
                <w:b/>
                <w:bCs/>
                <w:color w:val="2C3E50"/>
                <w:sz w:val="20"/>
                <w:szCs w:val="20"/>
              </w:rPr>
              <w:t xml:space="preserve">GET</w:t>
            </w:r>
          </w:p>
        </w:tc>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/api/health</w:t>
            </w:r>
          </w:p>
        </w:tc>
        <w:tc>
          <w:tcPr>
            <w:tcW w:type="dxa" w:w="1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Public</w:t>
            </w:r>
          </w:p>
        </w:tc>
        <w:tc>
          <w:tcPr>
            <w:tcW w:type="dxa" w:w="3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Server health check</w:t>
            </w:r>
          </w:p>
        </w:tc>
      </w:tr>
    </w:tbl>
    <w:p>
      <w:pPr>
        <w:spacing w:after="80"/>
      </w:pPr>
    </w:p>
    <w:p>
      <w:r>
        <w:br w:type="page"/>
      </w:r>
    </w:p>
    <w:p>
      <w:pPr>
        <w:pStyle w:val="Heading1"/>
        <w:spacing w:before="360" w:after="200"/>
      </w:pPr>
      <w:r>
        <w:rPr>
          <w:rFonts w:ascii="Arial" w:cs="Arial" w:eastAsia="Arial" w:hAnsi="Arial"/>
          <w:b/>
          <w:bCs/>
          <w:color w:val="1B4F72"/>
          <w:sz w:val="32"/>
          <w:szCs w:val="32"/>
        </w:rPr>
        <w:t xml:space="preserve">7. Authentication &amp; Authorization</w:t>
      </w:r>
    </w:p>
    <w:p>
      <w:pPr>
        <w:pStyle w:val="Heading2"/>
        <w:spacing w:before="280" w:after="160"/>
      </w:pPr>
      <w:r>
        <w:rPr>
          <w:rFonts w:ascii="Arial" w:cs="Arial" w:eastAsia="Arial" w:hAnsi="Arial"/>
          <w:b/>
          <w:bCs/>
          <w:color w:val="2E86C1"/>
          <w:sz w:val="26"/>
          <w:szCs w:val="26"/>
        </w:rPr>
        <w:t xml:space="preserve">7.1 JWT Token Flow</w:t>
      </w:r>
    </w:p>
    <w:p>
      <w:pPr>
        <w:spacing w:after="120" w:line="276"/>
        <w:jc w:val="both"/>
      </w:pPr>
      <w:r>
        <w:rPr>
          <w:rFonts w:ascii="Arial" w:cs="Arial" w:eastAsia="Arial" w:hAnsi="Arial"/>
          <w:color w:val="2C3E50"/>
          <w:sz w:val="22"/>
          <w:szCs w:val="22"/>
        </w:rPr>
        <w:t xml:space="preserve">The authentication system uses JSON Web Tokens (JWT) for stateless session management. When a user logs in with valid email and password, the server generates a signed JWT containing the user’s ID, role, and district. This token is included in the Authorization header of all subsequent requests as a Bearer token. Tokens expire after 7 days (configurable via JWT_EXPIRES_IN in environment variables). The server never stores session state, making the system horizontally scalable across multiple server instances.</w:t>
      </w:r>
    </w:p>
    <w:p>
      <w:pPr>
        <w:pStyle w:val="Heading2"/>
        <w:spacing w:before="280" w:after="160"/>
      </w:pPr>
      <w:r>
        <w:rPr>
          <w:rFonts w:ascii="Arial" w:cs="Arial" w:eastAsia="Arial" w:hAnsi="Arial"/>
          <w:b/>
          <w:bCs/>
          <w:color w:val="2E86C1"/>
          <w:sz w:val="26"/>
          <w:szCs w:val="26"/>
        </w:rPr>
        <w:t xml:space="preserve">7.2 Role-Based Access Control (RBAC)</w:t>
      </w:r>
    </w:p>
    <w:p>
      <w:pPr>
        <w:spacing w:after="120" w:line="276"/>
        <w:jc w:val="both"/>
      </w:pPr>
      <w:r>
        <w:rPr>
          <w:rFonts w:ascii="Arial" w:cs="Arial" w:eastAsia="Arial" w:hAnsi="Arial"/>
          <w:color w:val="2C3E50"/>
          <w:sz w:val="22"/>
          <w:szCs w:val="22"/>
        </w:rPr>
        <w:t xml:space="preserve">The authorization middleware implements a hierarchical role system with 7 role types matching the ICDS organizational structure. Route-level access is enforced using an authorize() middleware function that accepts allowed roles as arguments. The hierarchy ensures that AWWs can only see children in their assigned centre, Supervisors see their district, CDPOs see all districts, and Admin has unrestricted access. This role-scoping is implemented both at the middleware level (blocking unauthorized routes) and at the query level (filtering database results based on the authenticated user’s district and centre assignments).</w:t>
      </w:r>
    </w:p>
    <w:p>
      <w:pPr>
        <w:pStyle w:val="Heading2"/>
        <w:spacing w:before="280" w:after="160"/>
      </w:pPr>
      <w:r>
        <w:rPr>
          <w:rFonts w:ascii="Arial" w:cs="Arial" w:eastAsia="Arial" w:hAnsi="Arial"/>
          <w:b/>
          <w:bCs/>
          <w:color w:val="2E86C1"/>
          <w:sz w:val="26"/>
          <w:szCs w:val="26"/>
        </w:rPr>
        <w:t xml:space="preserve">7.3 Password Security</w:t>
      </w:r>
    </w:p>
    <w:p>
      <w:pPr>
        <w:spacing w:after="120" w:line="276"/>
        <w:jc w:val="both"/>
      </w:pPr>
      <w:r>
        <w:rPr>
          <w:rFonts w:ascii="Arial" w:cs="Arial" w:eastAsia="Arial" w:hAnsi="Arial"/>
          <w:color w:val="2C3E50"/>
          <w:sz w:val="22"/>
          <w:szCs w:val="22"/>
        </w:rPr>
        <w:t xml:space="preserve">Passwords are hashed using bcrypt with 12 salt rounds before storage. The User model’s beforeCreate and beforeUpdate hooks ensure passwords are never stored in plain text. The toJSON method strips the password field from all API responses. Password verification uses bcrypt’s timing-safe comparison function to prevent timing attacks.</w:t>
      </w:r>
    </w:p>
    <w:p>
      <w:r>
        <w:br w:type="page"/>
      </w:r>
    </w:p>
    <w:p>
      <w:pPr>
        <w:pStyle w:val="Heading1"/>
        <w:spacing w:before="360" w:after="200"/>
      </w:pPr>
      <w:r>
        <w:rPr>
          <w:rFonts w:ascii="Arial" w:cs="Arial" w:eastAsia="Arial" w:hAnsi="Arial"/>
          <w:b/>
          <w:bCs/>
          <w:color w:val="1B4F72"/>
          <w:sz w:val="32"/>
          <w:szCs w:val="32"/>
        </w:rPr>
        <w:t xml:space="preserve">8. Data Seeding Strategy</w:t>
      </w:r>
    </w:p>
    <w:p>
      <w:pPr>
        <w:pStyle w:val="Heading2"/>
        <w:spacing w:before="280" w:after="160"/>
      </w:pPr>
      <w:r>
        <w:rPr>
          <w:rFonts w:ascii="Arial" w:cs="Arial" w:eastAsia="Arial" w:hAnsi="Arial"/>
          <w:b/>
          <w:bCs/>
          <w:color w:val="2E86C1"/>
          <w:sz w:val="26"/>
          <w:szCs w:val="26"/>
        </w:rPr>
        <w:t xml:space="preserve">8.1 Design Philosophy</w:t>
      </w:r>
    </w:p>
    <w:p>
      <w:pPr>
        <w:spacing w:after="120" w:line="276"/>
        <w:jc w:val="both"/>
      </w:pPr>
      <w:r>
        <w:rPr>
          <w:rFonts w:ascii="Arial" w:cs="Arial" w:eastAsia="Arial" w:hAnsi="Arial"/>
          <w:color w:val="2C3E50"/>
          <w:sz w:val="22"/>
          <w:szCs w:val="22"/>
        </w:rPr>
        <w:t xml:space="preserve">The data seeder generates statistically realistic demo data that matches the metrics presented in the project’s PPT presentation. Rather than random data, the seeder uses district-specific parameters (coverage rates, risk percentages, risk scores) derived from actual ICDS program statistics for Andhra Pradesh. This ensures that dashboard visualizations show meaningful patterns during demonstrations, such as Kurnool and Anantapur consistently appearing as high-risk districts while Kakinada and Krishna show better outcomes.</w:t>
      </w:r>
    </w:p>
    <w:p>
      <w:pPr>
        <w:pStyle w:val="Heading2"/>
        <w:spacing w:before="280" w:after="160"/>
      </w:pPr>
      <w:r>
        <w:rPr>
          <w:rFonts w:ascii="Arial" w:cs="Arial" w:eastAsia="Arial" w:hAnsi="Arial"/>
          <w:b/>
          <w:bCs/>
          <w:color w:val="2E86C1"/>
          <w:sz w:val="26"/>
          <w:szCs w:val="26"/>
        </w:rPr>
        <w:t xml:space="preserve">8.2 Seeded Data Summary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Entity</w:t>
            </w:r>
          </w:p>
        </w:tc>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Count</w:t>
            </w:r>
          </w:p>
        </w:tc>
        <w:tc>
          <w:tcPr>
            <w:tcW w:type="dxa" w:w="5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Details</w:t>
            </w:r>
          </w:p>
        </w:tc>
      </w:tr>
      <w:tr>
        <w:tc>
          <w:tcPr>
            <w:tcW w:type="dxa" w:w="2200"/>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Users</w:t>
            </w:r>
          </w:p>
        </w:tc>
        <w:tc>
          <w:tcPr>
            <w:tcW w:type="dxa" w:w="1200"/>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249</w:t>
            </w:r>
          </w:p>
        </w:tc>
        <w:tc>
          <w:tcPr>
            <w:tcW w:type="dxa" w:w="5960"/>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1 Admin, 13 CDPOs, 52 Supervisors, 91 AWWs, 41 ANMs, 51 ASHAs</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Anganwadi Centres</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165</w:t>
            </w:r>
          </w:p>
        </w:tc>
        <w:tc>
          <w:tcPr>
            <w:tcW w:type="dxa" w:w="5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8-15 per district with real AP coordinates and risk scores</w:t>
            </w:r>
          </w:p>
        </w:tc>
      </w:tr>
      <w:tr>
        <w:tc>
          <w:tcPr>
            <w:tcW w:type="dxa" w:w="2200"/>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Children</w:t>
            </w:r>
          </w:p>
        </w:tc>
        <w:tc>
          <w:tcPr>
            <w:tcW w:type="dxa" w:w="1200"/>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3,362</w:t>
            </w:r>
          </w:p>
        </w:tc>
        <w:tc>
          <w:tcPr>
            <w:tcW w:type="dxa" w:w="5960"/>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10-30 per centre, ages 0-72 months, distributed across risk levels</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Screening Records</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2,510</w:t>
            </w:r>
          </w:p>
        </w:tc>
        <w:tc>
          <w:tcPr>
            <w:tcW w:type="dxa" w:w="5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5-domain ASQ-3 assessments with domain scores and risk levels</w:t>
            </w:r>
          </w:p>
        </w:tc>
      </w:tr>
      <w:tr>
        <w:tc>
          <w:tcPr>
            <w:tcW w:type="dxa" w:w="2200"/>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Referrals</w:t>
            </w:r>
          </w:p>
        </w:tc>
        <w:tc>
          <w:tcPr>
            <w:tcW w:type="dxa" w:w="1200"/>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388</w:t>
            </w:r>
          </w:p>
        </w:tc>
        <w:tc>
          <w:tcPr>
            <w:tcW w:type="dxa" w:w="5960"/>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Auto-generated for high/critical risk children with SLA tracking</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Districts Covered</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13</w:t>
            </w:r>
          </w:p>
        </w:tc>
        <w:tc>
          <w:tcPr>
            <w:tcW w:type="dxa" w:w="5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All major AP districts: Vizag, Guntur, Krishna, Nellore, Kurnool, etc.</w:t>
            </w:r>
          </w:p>
        </w:tc>
      </w:tr>
    </w:tbl>
    <w:p>
      <w:pPr>
        <w:spacing w:after="80"/>
      </w:pPr>
    </w:p>
    <w:p>
      <w:pPr>
        <w:pStyle w:val="Heading2"/>
        <w:spacing w:before="280" w:after="160"/>
      </w:pPr>
      <w:r>
        <w:rPr>
          <w:rFonts w:ascii="Arial" w:cs="Arial" w:eastAsia="Arial" w:hAnsi="Arial"/>
          <w:b/>
          <w:bCs/>
          <w:color w:val="2E86C1"/>
          <w:sz w:val="26"/>
          <w:szCs w:val="26"/>
        </w:rPr>
        <w:t xml:space="preserve">8.3 Demo Credentials</w:t>
      </w:r>
    </w:p>
    <w:p>
      <w:pPr>
        <w:spacing w:after="120" w:line="276"/>
      </w:pPr>
      <w:r>
        <w:rPr>
          <w:rFonts w:ascii="Arial" w:cs="Arial" w:eastAsia="Arial" w:hAnsi="Arial"/>
          <w:b/>
          <w:bCs/>
          <w:color w:val="2C3E50"/>
          <w:sz w:val="22"/>
          <w:szCs w:val="22"/>
        </w:rPr>
        <w:t xml:space="preserve">Admin: </w:t>
      </w:r>
      <w:r>
        <w:rPr>
          <w:rFonts w:ascii="Arial" w:cs="Arial" w:eastAsia="Arial" w:hAnsi="Arial"/>
          <w:color w:val="2C3E50"/>
          <w:sz w:val="22"/>
          <w:szCs w:val="22"/>
        </w:rPr>
        <w:t xml:space="preserve">admin@icds-ap.gov.in / admin123</w:t>
      </w:r>
    </w:p>
    <w:p>
      <w:pPr>
        <w:spacing w:after="120" w:line="276"/>
      </w:pPr>
      <w:r>
        <w:rPr>
          <w:rFonts w:ascii="Arial" w:cs="Arial" w:eastAsia="Arial" w:hAnsi="Arial"/>
          <w:b/>
          <w:bCs/>
          <w:color w:val="2C3E50"/>
          <w:sz w:val="22"/>
          <w:szCs w:val="22"/>
        </w:rPr>
        <w:t xml:space="preserve">CDPO: </w:t>
      </w:r>
      <w:r>
        <w:rPr>
          <w:rFonts w:ascii="Arial" w:cs="Arial" w:eastAsia="Arial" w:hAnsi="Arial"/>
          <w:color w:val="2C3E50"/>
          <w:sz w:val="22"/>
          <w:szCs w:val="22"/>
        </w:rPr>
        <w:t xml:space="preserve">cdpo.visakhapatnam@icds-ap.gov.in / cdpo123</w:t>
      </w:r>
    </w:p>
    <w:p>
      <w:pPr>
        <w:spacing w:after="120" w:line="276"/>
      </w:pPr>
      <w:r>
        <w:rPr>
          <w:rFonts w:ascii="Arial" w:cs="Arial" w:eastAsia="Arial" w:hAnsi="Arial"/>
          <w:b/>
          <w:bCs/>
          <w:color w:val="2C3E50"/>
          <w:sz w:val="22"/>
          <w:szCs w:val="22"/>
        </w:rPr>
        <w:t xml:space="preserve">Supervisor: </w:t>
      </w:r>
      <w:r>
        <w:rPr>
          <w:rFonts w:ascii="Arial" w:cs="Arial" w:eastAsia="Arial" w:hAnsi="Arial"/>
          <w:color w:val="2C3E50"/>
          <w:sz w:val="22"/>
          <w:szCs w:val="22"/>
        </w:rPr>
        <w:t xml:space="preserve">sup.anakapalle@icds-ap.gov.in / sup123</w:t>
      </w:r>
    </w:p>
    <w:p>
      <w:pPr>
        <w:spacing w:after="120" w:line="276"/>
      </w:pPr>
      <w:r>
        <w:rPr>
          <w:rFonts w:ascii="Arial" w:cs="Arial" w:eastAsia="Arial" w:hAnsi="Arial"/>
          <w:b/>
          <w:bCs/>
          <w:color w:val="2C3E50"/>
          <w:sz w:val="22"/>
          <w:szCs w:val="22"/>
        </w:rPr>
        <w:t xml:space="preserve">AWW: </w:t>
      </w:r>
      <w:r>
        <w:rPr>
          <w:rFonts w:ascii="Arial" w:cs="Arial" w:eastAsia="Arial" w:hAnsi="Arial"/>
          <w:color w:val="2C3E50"/>
          <w:sz w:val="22"/>
          <w:szCs w:val="22"/>
        </w:rPr>
        <w:t xml:space="preserve">aww.vis.1@icds-ap.gov.in / aww123</w:t>
      </w:r>
    </w:p>
    <w:p>
      <w:r>
        <w:br w:type="page"/>
      </w:r>
    </w:p>
    <w:p>
      <w:pPr>
        <w:pStyle w:val="Heading1"/>
        <w:spacing w:before="360" w:after="200"/>
      </w:pPr>
      <w:r>
        <w:rPr>
          <w:rFonts w:ascii="Arial" w:cs="Arial" w:eastAsia="Arial" w:hAnsi="Arial"/>
          <w:b/>
          <w:bCs/>
          <w:color w:val="1B4F72"/>
          <w:sz w:val="32"/>
          <w:szCs w:val="32"/>
        </w:rPr>
        <w:t xml:space="preserve">9. Challenges Encountered &amp; Solutions</w:t>
      </w:r>
    </w:p>
    <w:p>
      <w:pPr>
        <w:spacing w:after="80"/>
      </w:pPr>
    </w:p>
    <w:p>
      <w:pPr>
        <w:spacing w:before="200" w:after="120"/>
      </w:pPr>
      <w:r>
        <w:rPr>
          <w:rFonts w:ascii="Arial" w:cs="Arial" w:eastAsia="Arial" w:hAnsi="Arial"/>
          <w:b/>
          <w:bCs/>
          <w:color w:val="17A589"/>
          <w:sz w:val="22"/>
          <w:szCs w:val="22"/>
        </w:rPr>
        <w:t xml:space="preserve">1. PostgreSQL psql Command Not Recognized</w:t>
      </w:r>
    </w:p>
    <w:p>
      <w:pPr>
        <w:spacing w:after="120" w:line="276"/>
      </w:pPr>
      <w:r>
        <w:rPr>
          <w:rFonts w:ascii="Arial" w:cs="Arial" w:eastAsia="Arial" w:hAnsi="Arial"/>
          <w:b/>
          <w:bCs/>
          <w:color w:val="2C3E50"/>
          <w:sz w:val="22"/>
          <w:szCs w:val="22"/>
        </w:rPr>
        <w:t xml:space="preserve">Challenge: </w:t>
      </w:r>
      <w:r>
        <w:rPr>
          <w:rFonts w:ascii="Arial" w:cs="Arial" w:eastAsia="Arial" w:hAnsi="Arial"/>
          <w:color w:val="2C3E50"/>
          <w:sz w:val="22"/>
          <w:szCs w:val="22"/>
        </w:rPr>
        <w:t xml:space="preserve">When attempting to create the icds database using the psql command-line tool, Windows returned “psql is not recognized as an internal or external command.” This occurred because PostgreSQL’s bin directory was not included in the system PATH environment variable during installation.</w:t>
      </w:r>
    </w:p>
    <w:p>
      <w:pPr>
        <w:spacing w:after="120" w:line="276"/>
      </w:pPr>
      <w:r>
        <w:rPr>
          <w:rFonts w:ascii="Arial" w:cs="Arial" w:eastAsia="Arial" w:hAnsi="Arial"/>
          <w:b/>
          <w:bCs/>
          <w:color w:val="2C3E50"/>
          <w:sz w:val="22"/>
          <w:szCs w:val="22"/>
        </w:rPr>
        <w:t xml:space="preserve">Solution: </w:t>
      </w:r>
      <w:r>
        <w:rPr>
          <w:rFonts w:ascii="Arial" w:cs="Arial" w:eastAsia="Arial" w:hAnsi="Arial"/>
          <w:color w:val="2C3E50"/>
          <w:sz w:val="22"/>
          <w:szCs w:val="22"/>
        </w:rPr>
        <w:t xml:space="preserve">Added C:\Program Files\PostgreSQL\18\bin to the Windows system PATH through Environment Variables settings. After restarting the terminal, psql was accessible globally. As an alternative path, pgAdmin 4 (the GUI tool installed alongside PostgreSQL) could also be used to create databases through its graphical interface.</w:t>
      </w:r>
    </w:p>
    <w:p>
      <w:pPr>
        <w:spacing w:after="80"/>
      </w:pPr>
    </w:p>
    <w:p>
      <w:pPr>
        <w:spacing w:before="200" w:after="120"/>
      </w:pPr>
      <w:r>
        <w:rPr>
          <w:rFonts w:ascii="Arial" w:cs="Arial" w:eastAsia="Arial" w:hAnsi="Arial"/>
          <w:b/>
          <w:bCs/>
          <w:color w:val="17A589"/>
          <w:sz w:val="22"/>
          <w:szCs w:val="22"/>
        </w:rPr>
        <w:t xml:space="preserve">2. PostgreSQL Password Authentication Failure</w:t>
      </w:r>
    </w:p>
    <w:p>
      <w:pPr>
        <w:spacing w:after="120" w:line="276"/>
      </w:pPr>
      <w:r>
        <w:rPr>
          <w:rFonts w:ascii="Arial" w:cs="Arial" w:eastAsia="Arial" w:hAnsi="Arial"/>
          <w:b/>
          <w:bCs/>
          <w:color w:val="2C3E50"/>
          <w:sz w:val="22"/>
          <w:szCs w:val="22"/>
        </w:rPr>
        <w:t xml:space="preserve">Challenge: </w:t>
      </w:r>
      <w:r>
        <w:rPr>
          <w:rFonts w:ascii="Arial" w:cs="Arial" w:eastAsia="Arial" w:hAnsi="Arial"/>
          <w:color w:val="2C3E50"/>
          <w:sz w:val="22"/>
          <w:szCs w:val="22"/>
        </w:rPr>
        <w:t xml:space="preserve">The data seeder failed with “password authentication failed for user postgres” when connecting to PostgreSQL. The .env file contained a default placeholder password that didn’t match the actual password set during PostgreSQL installation.</w:t>
      </w:r>
    </w:p>
    <w:p>
      <w:pPr>
        <w:spacing w:after="120" w:line="276"/>
      </w:pPr>
      <w:r>
        <w:rPr>
          <w:rFonts w:ascii="Arial" w:cs="Arial" w:eastAsia="Arial" w:hAnsi="Arial"/>
          <w:b/>
          <w:bCs/>
          <w:color w:val="2C3E50"/>
          <w:sz w:val="22"/>
          <w:szCs w:val="22"/>
        </w:rPr>
        <w:t xml:space="preserve">Solution: </w:t>
      </w:r>
      <w:r>
        <w:rPr>
          <w:rFonts w:ascii="Arial" w:cs="Arial" w:eastAsia="Arial" w:hAnsi="Arial"/>
          <w:color w:val="2C3E50"/>
          <w:sz w:val="22"/>
          <w:szCs w:val="22"/>
        </w:rPr>
        <w:t xml:space="preserve">Updated the PG_PASSWORD value in the .env file to match the actual PostgreSQL installation password. This highlighted the importance of environment-specific configuration and why sensitive credentials should never be hardcoded in source files.</w:t>
      </w:r>
    </w:p>
    <w:p>
      <w:pPr>
        <w:spacing w:after="80"/>
      </w:pPr>
    </w:p>
    <w:p>
      <w:pPr>
        <w:spacing w:before="200" w:after="120"/>
      </w:pPr>
      <w:r>
        <w:rPr>
          <w:rFonts w:ascii="Arial" w:cs="Arial" w:eastAsia="Arial" w:hAnsi="Arial"/>
          <w:b/>
          <w:bCs/>
          <w:color w:val="17A589"/>
          <w:sz w:val="22"/>
          <w:szCs w:val="22"/>
        </w:rPr>
        <w:t xml:space="preserve">3. Bulk Password Hashing Not Triggered</w:t>
      </w:r>
    </w:p>
    <w:p>
      <w:pPr>
        <w:spacing w:after="120" w:line="276"/>
      </w:pPr>
      <w:r>
        <w:rPr>
          <w:rFonts w:ascii="Arial" w:cs="Arial" w:eastAsia="Arial" w:hAnsi="Arial"/>
          <w:b/>
          <w:bCs/>
          <w:color w:val="2C3E50"/>
          <w:sz w:val="22"/>
          <w:szCs w:val="22"/>
        </w:rPr>
        <w:t xml:space="preserve">Challenge: </w:t>
      </w:r>
      <w:r>
        <w:rPr>
          <w:rFonts w:ascii="Arial" w:cs="Arial" w:eastAsia="Arial" w:hAnsi="Arial"/>
          <w:color w:val="2C3E50"/>
          <w:sz w:val="22"/>
          <w:szCs w:val="22"/>
        </w:rPr>
        <w:t xml:space="preserve">After seeding users with User.bulkCreate(), login attempts returned “Invalid email or password” for all accounts. Investigation revealed that Sequelize’s bulkCreate() method bypasses model hooks (beforeCreate/beforeUpdate), so passwords were stored as plain text instead of bcrypt hashes.</w:t>
      </w:r>
    </w:p>
    <w:p>
      <w:pPr>
        <w:spacing w:after="120" w:line="276"/>
      </w:pPr>
      <w:r>
        <w:rPr>
          <w:rFonts w:ascii="Arial" w:cs="Arial" w:eastAsia="Arial" w:hAnsi="Arial"/>
          <w:b/>
          <w:bCs/>
          <w:color w:val="2C3E50"/>
          <w:sz w:val="22"/>
          <w:szCs w:val="22"/>
        </w:rPr>
        <w:t xml:space="preserve">Solution: </w:t>
      </w:r>
      <w:r>
        <w:rPr>
          <w:rFonts w:ascii="Arial" w:cs="Arial" w:eastAsia="Arial" w:hAnsi="Arial"/>
          <w:color w:val="2C3E50"/>
          <w:sz w:val="22"/>
          <w:szCs w:val="22"/>
        </w:rPr>
        <w:t xml:space="preserve">Created a password reset script that loads each user individually and calls user.save() which properly triggers the beforeUpdate hook and hashes the password. For future seeds, the solution would be to either pre-hash passwords before bulkCreate() or use individualHooks: true option (at a performance cost).</w:t>
      </w:r>
    </w:p>
    <w:p>
      <w:pPr>
        <w:spacing w:after="80"/>
      </w:pPr>
    </w:p>
    <w:p>
      <w:pPr>
        <w:spacing w:before="200" w:after="120"/>
      </w:pPr>
      <w:r>
        <w:rPr>
          <w:rFonts w:ascii="Arial" w:cs="Arial" w:eastAsia="Arial" w:hAnsi="Arial"/>
          <w:b/>
          <w:bCs/>
          <w:color w:val="17A589"/>
          <w:sz w:val="22"/>
          <w:szCs w:val="22"/>
        </w:rPr>
        <w:t xml:space="preserve">4. Postman Collection Token Overwrite Issue</w:t>
      </w:r>
    </w:p>
    <w:p>
      <w:pPr>
        <w:spacing w:after="120" w:line="276"/>
      </w:pPr>
      <w:r>
        <w:rPr>
          <w:rFonts w:ascii="Arial" w:cs="Arial" w:eastAsia="Arial" w:hAnsi="Arial"/>
          <w:b/>
          <w:bCs/>
          <w:color w:val="2C3E50"/>
          <w:sz w:val="22"/>
          <w:szCs w:val="22"/>
        </w:rPr>
        <w:t xml:space="preserve">Challenge: </w:t>
      </w:r>
      <w:r>
        <w:rPr>
          <w:rFonts w:ascii="Arial" w:cs="Arial" w:eastAsia="Arial" w:hAnsi="Arial"/>
          <w:color w:val="2C3E50"/>
          <w:sz w:val="22"/>
          <w:szCs w:val="22"/>
        </w:rPr>
        <w:t xml:space="preserve">When running the full Postman collection, all dashboard endpoints returned 403 Forbidden errors despite logging in as admin. Analysis revealed that three login requests (Admin, CDPO, AWW) all shared the same token auto-save script. The AWW login ran last and overwrote the admin token, causing all subsequent requests to use the AWW’s limited permissions.</w:t>
      </w:r>
    </w:p>
    <w:p>
      <w:pPr>
        <w:spacing w:after="120" w:line="276"/>
      </w:pPr>
      <w:r>
        <w:rPr>
          <w:rFonts w:ascii="Arial" w:cs="Arial" w:eastAsia="Arial" w:hAnsi="Arial"/>
          <w:b/>
          <w:bCs/>
          <w:color w:val="2C3E50"/>
          <w:sz w:val="22"/>
          <w:szCs w:val="22"/>
        </w:rPr>
        <w:t xml:space="preserve">Solution: </w:t>
      </w:r>
      <w:r>
        <w:rPr>
          <w:rFonts w:ascii="Arial" w:cs="Arial" w:eastAsia="Arial" w:hAnsi="Arial"/>
          <w:color w:val="2C3E50"/>
          <w:sz w:val="22"/>
          <w:szCs w:val="22"/>
        </w:rPr>
        <w:t xml:space="preserve">Excluded the CDPO and AWW login requests from collection runs, ensuring only the Admin login executes first and its token persists throughout the run. This was documented in the Postman collection description for future team members.</w:t>
      </w:r>
    </w:p>
    <w:p>
      <w:pPr>
        <w:spacing w:after="80"/>
      </w:pPr>
    </w:p>
    <w:p>
      <w:pPr>
        <w:spacing w:before="200" w:after="120"/>
      </w:pPr>
      <w:r>
        <w:rPr>
          <w:rFonts w:ascii="Arial" w:cs="Arial" w:eastAsia="Arial" w:hAnsi="Arial"/>
          <w:b/>
          <w:bCs/>
          <w:color w:val="17A589"/>
          <w:sz w:val="22"/>
          <w:szCs w:val="22"/>
        </w:rPr>
        <w:t xml:space="preserve">5. Referral SLA Deadline Required Validation</w:t>
      </w:r>
    </w:p>
    <w:p>
      <w:pPr>
        <w:spacing w:after="120" w:line="276"/>
      </w:pPr>
      <w:r>
        <w:rPr>
          <w:rFonts w:ascii="Arial" w:cs="Arial" w:eastAsia="Arial" w:hAnsi="Arial"/>
          <w:b/>
          <w:bCs/>
          <w:color w:val="2C3E50"/>
          <w:sz w:val="22"/>
          <w:szCs w:val="22"/>
        </w:rPr>
        <w:t xml:space="preserve">Challenge: </w:t>
      </w:r>
      <w:r>
        <w:rPr>
          <w:rFonts w:ascii="Arial" w:cs="Arial" w:eastAsia="Arial" w:hAnsi="Arial"/>
          <w:color w:val="2C3E50"/>
          <w:sz w:val="22"/>
          <w:szCs w:val="22"/>
        </w:rPr>
        <w:t xml:space="preserve">The Full 5-Domain Screening endpoint returned a validation error: “Path slaDeadline is required.” The Referral model had slaDeadline marked as required: true, but the pre-save hook that auto-calculates it runs after Mongoose’s built-in validation, creating a chicken-and-egg problem.</w:t>
      </w:r>
    </w:p>
    <w:p>
      <w:pPr>
        <w:spacing w:after="120" w:line="276"/>
      </w:pPr>
      <w:r>
        <w:rPr>
          <w:rFonts w:ascii="Arial" w:cs="Arial" w:eastAsia="Arial" w:hAnsi="Arial"/>
          <w:b/>
          <w:bCs/>
          <w:color w:val="2C3E50"/>
          <w:sz w:val="22"/>
          <w:szCs w:val="22"/>
        </w:rPr>
        <w:t xml:space="preserve">Solution: </w:t>
      </w:r>
      <w:r>
        <w:rPr>
          <w:rFonts w:ascii="Arial" w:cs="Arial" w:eastAsia="Arial" w:hAnsi="Arial"/>
          <w:color w:val="2C3E50"/>
          <w:sz w:val="22"/>
          <w:szCs w:val="22"/>
        </w:rPr>
        <w:t xml:space="preserve">Changed slaDeadline from required: true to required: false in the Referral model. The pre-save hook still auto-calculates the deadline, but Mongoose no longer rejects the document before the hook has a chance to set the value. This is a common pattern when using pre-save hooks for computed fields.</w:t>
      </w:r>
    </w:p>
    <w:p>
      <w:pPr>
        <w:spacing w:after="80"/>
      </w:pPr>
    </w:p>
    <w:p>
      <w:pPr>
        <w:spacing w:before="200" w:after="120"/>
      </w:pPr>
      <w:r>
        <w:rPr>
          <w:rFonts w:ascii="Arial" w:cs="Arial" w:eastAsia="Arial" w:hAnsi="Arial"/>
          <w:b/>
          <w:bCs/>
          <w:color w:val="17A589"/>
          <w:sz w:val="22"/>
          <w:szCs w:val="22"/>
        </w:rPr>
        <w:t xml:space="preserve">6. Scaling from 3 Routes to 28+ Endpoints</w:t>
      </w:r>
    </w:p>
    <w:p>
      <w:pPr>
        <w:spacing w:after="120" w:line="276"/>
      </w:pPr>
      <w:r>
        <w:rPr>
          <w:rFonts w:ascii="Arial" w:cs="Arial" w:eastAsia="Arial" w:hAnsi="Arial"/>
          <w:b/>
          <w:bCs/>
          <w:color w:val="2C3E50"/>
          <w:sz w:val="22"/>
          <w:szCs w:val="22"/>
        </w:rPr>
        <w:t xml:space="preserve">Challenge: </w:t>
      </w:r>
      <w:r>
        <w:rPr>
          <w:rFonts w:ascii="Arial" w:cs="Arial" w:eastAsia="Arial" w:hAnsi="Arial"/>
          <w:color w:val="2C3E50"/>
          <w:sz w:val="22"/>
          <w:szCs w:val="22"/>
        </w:rPr>
        <w:t xml:space="preserve">The original teammate’s backend had a flat structure with 3 routes, 2 models, and a simple risk calculator. Scaling this to a startup-grade system required fundamental restructuring without breaking existing functionality or losing the teammate’s contribution context.</w:t>
      </w:r>
    </w:p>
    <w:p>
      <w:pPr>
        <w:spacing w:after="120" w:line="276"/>
      </w:pPr>
      <w:r>
        <w:rPr>
          <w:rFonts w:ascii="Arial" w:cs="Arial" w:eastAsia="Arial" w:hAnsi="Arial"/>
          <w:b/>
          <w:bCs/>
          <w:color w:val="2C3E50"/>
          <w:sz w:val="22"/>
          <w:szCs w:val="22"/>
        </w:rPr>
        <w:t xml:space="preserve">Solution: </w:t>
      </w:r>
      <w:r>
        <w:rPr>
          <w:rFonts w:ascii="Arial" w:cs="Arial" w:eastAsia="Arial" w:hAnsi="Arial"/>
          <w:color w:val="2C3E50"/>
          <w:sz w:val="22"/>
          <w:szCs w:val="22"/>
        </w:rPr>
        <w:t xml:space="preserve">Adopted an incremental refactoring approach: first established the new project structure (config, middleware, seeds, services directories), then enhanced existing models while maintaining backward compatibility, and finally added new routes as separate modules. The calculateRiskQuick() function preserves the original API contract while internally leveraging the new 5-domain engine.</w:t>
      </w:r>
    </w:p>
    <w:p>
      <w:pPr>
        <w:spacing w:after="80"/>
      </w:pPr>
    </w:p>
    <w:p>
      <w:pPr>
        <w:spacing w:before="200" w:after="120"/>
      </w:pPr>
      <w:r>
        <w:rPr>
          <w:rFonts w:ascii="Arial" w:cs="Arial" w:eastAsia="Arial" w:hAnsi="Arial"/>
          <w:b/>
          <w:bCs/>
          <w:color w:val="17A589"/>
          <w:sz w:val="22"/>
          <w:szCs w:val="22"/>
        </w:rPr>
        <w:t xml:space="preserve">7. Dual-Database Cross-Referencing</w:t>
      </w:r>
    </w:p>
    <w:p>
      <w:pPr>
        <w:spacing w:after="120" w:line="276"/>
      </w:pPr>
      <w:r>
        <w:rPr>
          <w:rFonts w:ascii="Arial" w:cs="Arial" w:eastAsia="Arial" w:hAnsi="Arial"/>
          <w:b/>
          <w:bCs/>
          <w:color w:val="2C3E50"/>
          <w:sz w:val="22"/>
          <w:szCs w:val="22"/>
        </w:rPr>
        <w:t xml:space="preserve">Challenge: </w:t>
      </w:r>
      <w:r>
        <w:rPr>
          <w:rFonts w:ascii="Arial" w:cs="Arial" w:eastAsia="Arial" w:hAnsi="Arial"/>
          <w:color w:val="2C3E50"/>
          <w:sz w:val="22"/>
          <w:szCs w:val="22"/>
        </w:rPr>
        <w:t xml:space="preserve">With users and centres in PostgreSQL and children, screenings, and referrals in MongoDB, queries that need data from both databases (e.g., dashboard endpoints combining centre coordinates with child risk data) cannot use standard JOIN operations across database boundaries.</w:t>
      </w:r>
    </w:p>
    <w:p>
      <w:pPr>
        <w:spacing w:after="120" w:line="276"/>
      </w:pPr>
      <w:r>
        <w:rPr>
          <w:rFonts w:ascii="Arial" w:cs="Arial" w:eastAsia="Arial" w:hAnsi="Arial"/>
          <w:b/>
          <w:bCs/>
          <w:color w:val="2C3E50"/>
          <w:sz w:val="22"/>
          <w:szCs w:val="22"/>
        </w:rPr>
        <w:t xml:space="preserve">Solution: </w:t>
      </w:r>
      <w:r>
        <w:rPr>
          <w:rFonts w:ascii="Arial" w:cs="Arial" w:eastAsia="Arial" w:hAnsi="Arial"/>
          <w:color w:val="2C3E50"/>
          <w:sz w:val="22"/>
          <w:szCs w:val="22"/>
        </w:rPr>
        <w:t xml:space="preserve">Stored PostgreSQL UUIDs as string references in MongoDB documents (centreId, screenedBy, referredBy fields). Dashboard routes execute parallel queries to both databases and merge results in the application layer. For the geo endpoints, centre data is fetched from PostgreSQL and enriched with child risk aggregations from MongoDB. Denormalized district and mandal fields in MongoDB documents enable most aggregation queries to run entirely within MongoDB without cross-database lookups.</w:t>
      </w:r>
    </w:p>
    <w:p>
      <w:pPr>
        <w:spacing w:after="80"/>
      </w:pPr>
    </w:p>
    <w:p>
      <w:r>
        <w:br w:type="page"/>
      </w:r>
    </w:p>
    <w:p>
      <w:pPr>
        <w:pStyle w:val="Heading1"/>
        <w:spacing w:before="360" w:after="200"/>
      </w:pPr>
      <w:r>
        <w:rPr>
          <w:rFonts w:ascii="Arial" w:cs="Arial" w:eastAsia="Arial" w:hAnsi="Arial"/>
          <w:b/>
          <w:bCs/>
          <w:color w:val="1B4F72"/>
          <w:sz w:val="32"/>
          <w:szCs w:val="32"/>
        </w:rPr>
        <w:t xml:space="preserve">10. Testing &amp; Validation</w:t>
      </w:r>
    </w:p>
    <w:p>
      <w:pPr>
        <w:pStyle w:val="Heading2"/>
        <w:spacing w:before="280" w:after="160"/>
      </w:pPr>
      <w:r>
        <w:rPr>
          <w:rFonts w:ascii="Arial" w:cs="Arial" w:eastAsia="Arial" w:hAnsi="Arial"/>
          <w:b/>
          <w:bCs/>
          <w:color w:val="2E86C1"/>
          <w:sz w:val="26"/>
          <w:szCs w:val="26"/>
        </w:rPr>
        <w:t xml:space="preserve">10.1 API Testing with Postman</w:t>
      </w:r>
    </w:p>
    <w:p>
      <w:pPr>
        <w:spacing w:after="120" w:line="276"/>
        <w:jc w:val="both"/>
      </w:pPr>
      <w:r>
        <w:rPr>
          <w:rFonts w:ascii="Arial" w:cs="Arial" w:eastAsia="Arial" w:hAnsi="Arial"/>
          <w:color w:val="2C3E50"/>
          <w:sz w:val="22"/>
          <w:szCs w:val="22"/>
        </w:rPr>
        <w:t xml:space="preserve">A comprehensive Postman collection was created with 28 pre-configured requests organized by PPT slide mapping. The collection includes auto-save scripts that capture JWT tokens from login responses and propagate them to all subsequent requests via collection-level Bearer Token authentication. Each request includes a description documenting which PPT dashboard component it feeds, expected response shape, and available query parameters.</w:t>
      </w:r>
    </w:p>
    <w:p>
      <w:pPr>
        <w:pStyle w:val="Heading2"/>
        <w:spacing w:before="280" w:after="160"/>
      </w:pPr>
      <w:r>
        <w:rPr>
          <w:rFonts w:ascii="Arial" w:cs="Arial" w:eastAsia="Arial" w:hAnsi="Arial"/>
          <w:b/>
          <w:bCs/>
          <w:color w:val="2E86C1"/>
          <w:sz w:val="26"/>
          <w:szCs w:val="26"/>
        </w:rPr>
        <w:t xml:space="preserve">10.2 Test Results</w:t>
      </w:r>
    </w:p>
    <w:p>
      <w:pPr>
        <w:spacing w:after="120" w:line="276"/>
        <w:jc w:val="both"/>
      </w:pPr>
      <w:r>
        <w:rPr>
          <w:rFonts w:ascii="Arial" w:cs="Arial" w:eastAsia="Arial" w:hAnsi="Arial"/>
          <w:color w:val="2C3E50"/>
          <w:sz w:val="22"/>
          <w:szCs w:val="22"/>
        </w:rPr>
        <w:t xml:space="preserve">All 24 automated collection requests (excluding 4 that require manual ID input) passed with HTTP 200/201 status codes. The testing validated the complete data flow from authentication through dashboard aggregation, confirming that seeded data is properly distributed across districts and risk levels and that all aggregation pipelines return correctly shaped data for frontend chart rendering.</w:t>
      </w:r>
    </w:p>
    <w:p>
      <w:pPr>
        <w:pStyle w:val="Heading2"/>
        <w:spacing w:before="280" w:after="160"/>
      </w:pPr>
      <w:r>
        <w:rPr>
          <w:rFonts w:ascii="Arial" w:cs="Arial" w:eastAsia="Arial" w:hAnsi="Arial"/>
          <w:b/>
          <w:bCs/>
          <w:color w:val="2E86C1"/>
          <w:sz w:val="26"/>
          <w:szCs w:val="26"/>
        </w:rPr>
        <w:t xml:space="preserve">10.3 Verified Functionality</w:t>
      </w:r>
    </w:p>
    <w:p>
      <w:pPr>
        <w:spacing w:after="120" w:line="276"/>
      </w:pPr>
      <w:r>
        <w:rPr>
          <w:rFonts w:ascii="Arial" w:cs="Arial" w:eastAsia="Arial" w:hAnsi="Arial"/>
          <w:b/>
          <w:bCs/>
          <w:color w:val="2C3E50"/>
          <w:sz w:val="22"/>
          <w:szCs w:val="22"/>
        </w:rPr>
        <w:t xml:space="preserve">Authentication: </w:t>
      </w:r>
      <w:r>
        <w:rPr>
          <w:rFonts w:ascii="Arial" w:cs="Arial" w:eastAsia="Arial" w:hAnsi="Arial"/>
          <w:color w:val="2C3E50"/>
          <w:sz w:val="22"/>
          <w:szCs w:val="22"/>
        </w:rPr>
        <w:t xml:space="preserve">Login, token generation, role verification, and profile retrieval for all 4 role types.</w:t>
      </w:r>
    </w:p>
    <w:p>
      <w:pPr>
        <w:spacing w:after="120" w:line="276"/>
      </w:pPr>
      <w:r>
        <w:rPr>
          <w:rFonts w:ascii="Arial" w:cs="Arial" w:eastAsia="Arial" w:hAnsi="Arial"/>
          <w:b/>
          <w:bCs/>
          <w:color w:val="2C3E50"/>
          <w:sz w:val="22"/>
          <w:szCs w:val="22"/>
        </w:rPr>
        <w:t xml:space="preserve">Child Management: </w:t>
      </w:r>
      <w:r>
        <w:rPr>
          <w:rFonts w:ascii="Arial" w:cs="Arial" w:eastAsia="Arial" w:hAnsi="Arial"/>
          <w:color w:val="2C3E50"/>
          <w:sz w:val="22"/>
          <w:szCs w:val="22"/>
        </w:rPr>
        <w:t xml:space="preserve">Registration, listing with pagination, filtering by district and risk level, and full profile retrieval with screening history.</w:t>
      </w:r>
    </w:p>
    <w:p>
      <w:pPr>
        <w:spacing w:after="120" w:line="276"/>
      </w:pPr>
      <w:r>
        <w:rPr>
          <w:rFonts w:ascii="Arial" w:cs="Arial" w:eastAsia="Arial" w:hAnsi="Arial"/>
          <w:b/>
          <w:bCs/>
          <w:color w:val="2C3E50"/>
          <w:sz w:val="22"/>
          <w:szCs w:val="22"/>
        </w:rPr>
        <w:t xml:space="preserve">Screening Engine: </w:t>
      </w:r>
      <w:r>
        <w:rPr>
          <w:rFonts w:ascii="Arial" w:cs="Arial" w:eastAsia="Arial" w:hAnsi="Arial"/>
          <w:color w:val="2C3E50"/>
          <w:sz w:val="22"/>
          <w:szCs w:val="22"/>
        </w:rPr>
        <w:t xml:space="preserve">Full 5-domain screening with milestone-by-milestone assessment, quick screening with backward compatibility, risk scoring, confidence calculation, and automatic referral generation.</w:t>
      </w:r>
    </w:p>
    <w:p>
      <w:pPr>
        <w:spacing w:after="120" w:line="276"/>
      </w:pPr>
      <w:r>
        <w:rPr>
          <w:rFonts w:ascii="Arial" w:cs="Arial" w:eastAsia="Arial" w:hAnsi="Arial"/>
          <w:b/>
          <w:bCs/>
          <w:color w:val="2C3E50"/>
          <w:sz w:val="22"/>
          <w:szCs w:val="22"/>
        </w:rPr>
        <w:t xml:space="preserve">Referral Lifecycle: </w:t>
      </w:r>
      <w:r>
        <w:rPr>
          <w:rFonts w:ascii="Arial" w:cs="Arial" w:eastAsia="Arial" w:hAnsi="Arial"/>
          <w:color w:val="2C3E50"/>
          <w:sz w:val="22"/>
          <w:szCs w:val="22"/>
        </w:rPr>
        <w:t xml:space="preserve">Urgency queue sorting, status updates, completion tracking, and SLA deadline enforcement.</w:t>
      </w:r>
    </w:p>
    <w:p>
      <w:pPr>
        <w:spacing w:after="120" w:line="276"/>
      </w:pPr>
      <w:r>
        <w:rPr>
          <w:rFonts w:ascii="Arial" w:cs="Arial" w:eastAsia="Arial" w:hAnsi="Arial"/>
          <w:b/>
          <w:bCs/>
          <w:color w:val="2C3E50"/>
          <w:sz w:val="22"/>
          <w:szCs w:val="22"/>
        </w:rPr>
        <w:t xml:space="preserve">Dashboard APIs: </w:t>
      </w:r>
      <w:r>
        <w:rPr>
          <w:rFonts w:ascii="Arial" w:cs="Arial" w:eastAsia="Arial" w:hAnsi="Arial"/>
          <w:color w:val="2C3E50"/>
          <w:sz w:val="22"/>
          <w:szCs w:val="22"/>
        </w:rPr>
        <w:t xml:space="preserve">All 10 dashboard endpoints returning aggregated data matching PPT slide specifications — screening KPIs, monthly trends, risk distribution, domain delays, age-band analysis, referral metrics, workforce capacity, and geo-analytics.</w:t>
      </w:r>
    </w:p>
    <w:p>
      <w:r>
        <w:br w:type="page"/>
      </w:r>
    </w:p>
    <w:p>
      <w:pPr>
        <w:pStyle w:val="Heading1"/>
        <w:spacing w:before="360" w:after="200"/>
      </w:pPr>
      <w:r>
        <w:rPr>
          <w:rFonts w:ascii="Arial" w:cs="Arial" w:eastAsia="Arial" w:hAnsi="Arial"/>
          <w:b/>
          <w:bCs/>
          <w:color w:val="1B4F72"/>
          <w:sz w:val="32"/>
          <w:szCs w:val="32"/>
        </w:rPr>
        <w:t xml:space="preserve">11. Current Status &amp; Metrics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400"/>
        <w:gridCol w:w="3960"/>
      </w:tblGrid>
      <w:t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w:t>
            </w:r>
          </w:p>
        </w:tc>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Scope</w:t>
            </w:r>
          </w:p>
        </w:tc>
        <w:tc>
          <w:tcPr>
            <w:tcW w:type="dxa" w:w="1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c>
          <w:tcPr>
            <w:tcW w:type="dxa" w:w="3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Backend API</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28+ endpoints</w:t>
            </w:r>
          </w:p>
        </w:tc>
        <w:tc>
          <w:tcPr>
            <w:tcW w:type="dxa" w:w="1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Complete</w:t>
            </w:r>
          </w:p>
        </w:tc>
        <w:tc>
          <w:tcPr>
            <w:tcW w:type="dxa" w:w="3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All tested and verified with Postman</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Database (MongoDB)</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3 collections</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Complete</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Child, ScreeningRecord, Referral</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Database (PostgreSQL)</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2 tables</w:t>
            </w:r>
          </w:p>
        </w:tc>
        <w:tc>
          <w:tcPr>
            <w:tcW w:type="dxa" w:w="1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Complete</w:t>
            </w:r>
          </w:p>
        </w:tc>
        <w:tc>
          <w:tcPr>
            <w:tcW w:type="dxa" w:w="3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User, AnganwadiCentre</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Authentication</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JWT + 7 roles</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Complete</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Role-based access on all routes</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Risk Engine</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5 domains, 6 age bands</w:t>
            </w:r>
          </w:p>
        </w:tc>
        <w:tc>
          <w:tcPr>
            <w:tcW w:type="dxa" w:w="1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Complete</w:t>
            </w:r>
          </w:p>
        </w:tc>
        <w:tc>
          <w:tcPr>
            <w:tcW w:type="dxa" w:w="3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ASQ-3 aligned with DASII adjustments</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Data Seeding</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3,362 children</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Complete</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13 AP districts with realistic distributions</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Postman Collection</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28 requests</w:t>
            </w:r>
          </w:p>
        </w:tc>
        <w:tc>
          <w:tcPr>
            <w:tcW w:type="dxa" w:w="1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Complete</w:t>
            </w:r>
          </w:p>
        </w:tc>
        <w:tc>
          <w:tcPr>
            <w:tcW w:type="dxa" w:w="3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Auto-token, slide-mapped descriptions</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React Dashboard</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Planned</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Pending</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Week 1-2 of next phase</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ML Training Pipeline</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Planned</w:t>
            </w:r>
          </w:p>
        </w:tc>
        <w:tc>
          <w:tcPr>
            <w:tcW w:type="dxa" w:w="1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Pending</w:t>
            </w:r>
          </w:p>
        </w:tc>
        <w:tc>
          <w:tcPr>
            <w:tcW w:type="dxa" w:w="3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XGBoost/Random Forest on screening data</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Frontend Integration</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Planned</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Pending</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Connect teammate’s HTML/CSS/JS to APIs</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SMS Notifications</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Planned</w:t>
            </w:r>
          </w:p>
        </w:tc>
        <w:tc>
          <w:tcPr>
            <w:tcW w:type="dxa" w:w="1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Pending</w:t>
            </w:r>
          </w:p>
        </w:tc>
        <w:tc>
          <w:tcPr>
            <w:tcW w:type="dxa" w:w="3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MSG91 integration for parent/supervisor alerts</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PDF Report Generation</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Planned</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Pending</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Child profiles, district reports</w:t>
            </w:r>
          </w:p>
        </w:tc>
      </w:tr>
    </w:tbl>
    <w:p>
      <w:r>
        <w:br w:type="page"/>
      </w:r>
    </w:p>
    <w:p>
      <w:pPr>
        <w:pStyle w:val="Heading1"/>
        <w:spacing w:before="360" w:after="200"/>
      </w:pPr>
      <w:r>
        <w:rPr>
          <w:rFonts w:ascii="Arial" w:cs="Arial" w:eastAsia="Arial" w:hAnsi="Arial"/>
          <w:b/>
          <w:bCs/>
          <w:color w:val="1B4F72"/>
          <w:sz w:val="32"/>
          <w:szCs w:val="32"/>
        </w:rPr>
        <w:t xml:space="preserve">12. Future Roadmap</w:t>
      </w:r>
    </w:p>
    <w:p>
      <w:pPr>
        <w:pStyle w:val="Heading2"/>
        <w:spacing w:before="280" w:after="160"/>
      </w:pPr>
      <w:r>
        <w:rPr>
          <w:rFonts w:ascii="Arial" w:cs="Arial" w:eastAsia="Arial" w:hAnsi="Arial"/>
          <w:b/>
          <w:bCs/>
          <w:color w:val="2E86C1"/>
          <w:sz w:val="26"/>
          <w:szCs w:val="26"/>
        </w:rPr>
        <w:t xml:space="preserve">12.1 Phase 2: React Dashboard (Weeks 1-2)</w:t>
      </w:r>
    </w:p>
    <w:p>
      <w:pPr>
        <w:spacing w:after="120" w:line="276"/>
        <w:jc w:val="both"/>
      </w:pPr>
      <w:r>
        <w:rPr>
          <w:rFonts w:ascii="Arial" w:cs="Arial" w:eastAsia="Arial" w:hAnsi="Arial"/>
          <w:color w:val="2C3E50"/>
          <w:sz w:val="22"/>
          <w:szCs w:val="22"/>
        </w:rPr>
        <w:t xml:space="preserve">Build a data-driven React.js dashboard that directly consumes all 10 dashboard API endpoints. The dashboard will implement the 5 screens shown in the PPT: Login Portal, Screening &amp; Coverage Dashboard (Slide 5), Risk Stratification Dashboard (Slide 6), Referral &amp; Action Support Dashboard (Slide 7), and Geo-Analytic Risk Map (Slide 9). Technologies: React with hooks, Recharts for charts, Leaflet.js for maps, and Tailwind CSS for styling.</w:t>
      </w:r>
    </w:p>
    <w:p>
      <w:pPr>
        <w:pStyle w:val="Heading2"/>
        <w:spacing w:before="280" w:after="160"/>
      </w:pPr>
      <w:r>
        <w:rPr>
          <w:rFonts w:ascii="Arial" w:cs="Arial" w:eastAsia="Arial" w:hAnsi="Arial"/>
          <w:b/>
          <w:bCs/>
          <w:color w:val="2E86C1"/>
          <w:sz w:val="26"/>
          <w:szCs w:val="26"/>
        </w:rPr>
        <w:t xml:space="preserve">12.2 Phase 3: ML Training Pipeline (Weeks 2-3)</w:t>
      </w:r>
    </w:p>
    <w:p>
      <w:pPr>
        <w:spacing w:after="120" w:line="276"/>
        <w:jc w:val="both"/>
      </w:pPr>
      <w:r>
        <w:rPr>
          <w:rFonts w:ascii="Arial" w:cs="Arial" w:eastAsia="Arial" w:hAnsi="Arial"/>
          <w:color w:val="2C3E50"/>
          <w:sz w:val="22"/>
          <w:szCs w:val="22"/>
        </w:rPr>
        <w:t xml:space="preserve">Train a machine learning model on the 2,510 screening records to replace the rule-based rawToPercentile() function with actual model inference. The pipeline will use Python with scikit-learn (Random Forest) and XGBoost, exposed via a FastAPI microservice that the Node.js backend calls for risk predictions. The model will be trained on features including domain milestone achievement rates, anthropometric z-scores, age, and prior screening history.</w:t>
      </w:r>
    </w:p>
    <w:p>
      <w:pPr>
        <w:pStyle w:val="Heading2"/>
        <w:spacing w:before="280" w:after="160"/>
      </w:pPr>
      <w:r>
        <w:rPr>
          <w:rFonts w:ascii="Arial" w:cs="Arial" w:eastAsia="Arial" w:hAnsi="Arial"/>
          <w:b/>
          <w:bCs/>
          <w:color w:val="2E86C1"/>
          <w:sz w:val="26"/>
          <w:szCs w:val="26"/>
        </w:rPr>
        <w:t xml:space="preserve">12.3 Phase 4: Production Features (Weeks 3-4)</w:t>
      </w:r>
    </w:p>
    <w:p>
      <w:pPr>
        <w:spacing w:after="120" w:line="276"/>
        <w:jc w:val="both"/>
      </w:pPr>
      <w:r>
        <w:rPr>
          <w:rFonts w:ascii="Arial" w:cs="Arial" w:eastAsia="Arial" w:hAnsi="Arial"/>
          <w:color w:val="2C3E50"/>
          <w:sz w:val="22"/>
          <w:szCs w:val="22"/>
        </w:rPr>
        <w:t xml:space="preserve">Add SMS notifications via MSG91 for parent and supervisor alerts when referrals are created or become overdue. Implement PDF report generation using pdfkit for individual child profiles and district-level summary reports. Add input validation with express-validator on all API endpoints. Deploy the system using Docker containers with separate services for the Node.js API, MongoDB, PostgreSQL, and the Python ML microservice.</w:t>
      </w:r>
    </w:p>
    <w:p>
      <w:pPr>
        <w:pStyle w:val="Heading2"/>
        <w:spacing w:before="280" w:after="160"/>
      </w:pPr>
      <w:r>
        <w:rPr>
          <w:rFonts w:ascii="Arial" w:cs="Arial" w:eastAsia="Arial" w:hAnsi="Arial"/>
          <w:b/>
          <w:bCs/>
          <w:color w:val="2E86C1"/>
          <w:sz w:val="26"/>
          <w:szCs w:val="26"/>
        </w:rPr>
        <w:t xml:space="preserve">12.4 Long-Term Vision</w:t>
      </w:r>
    </w:p>
    <w:p>
      <w:pPr>
        <w:spacing w:after="120" w:line="276"/>
        <w:jc w:val="both"/>
      </w:pPr>
      <w:r>
        <w:rPr>
          <w:rFonts w:ascii="Arial" w:cs="Arial" w:eastAsia="Arial" w:hAnsi="Arial"/>
          <w:color w:val="2C3E50"/>
          <w:sz w:val="22"/>
          <w:szCs w:val="22"/>
        </w:rPr>
        <w:t xml:space="preserve">Integration with NHM HMIS (National Health Mission Health Management Information System) for cross-referencing health data. Predictive growth analytics using LSTM networks for trend forecasting. NLP-based AWW chatbot for guided screening in local languages. Federated learning implementation for privacy-preserving AI model training across state boundaries without centralizing sensitive child data.</w:t>
      </w:r>
    </w:p>
    <w:p>
      <w:r>
        <w:br w:type="page"/>
      </w:r>
    </w:p>
    <w:p>
      <w:pPr>
        <w:pStyle w:val="Heading1"/>
        <w:spacing w:before="360" w:after="200"/>
      </w:pPr>
      <w:r>
        <w:rPr>
          <w:rFonts w:ascii="Arial" w:cs="Arial" w:eastAsia="Arial" w:hAnsi="Arial"/>
          <w:b/>
          <w:bCs/>
          <w:color w:val="1B4F72"/>
          <w:sz w:val="32"/>
          <w:szCs w:val="32"/>
        </w:rPr>
        <w:t xml:space="preserve">13. Setup &amp; Installation Guide</w:t>
      </w:r>
    </w:p>
    <w:p>
      <w:pPr>
        <w:pStyle w:val="Heading2"/>
        <w:spacing w:before="280" w:after="160"/>
      </w:pPr>
      <w:r>
        <w:rPr>
          <w:rFonts w:ascii="Arial" w:cs="Arial" w:eastAsia="Arial" w:hAnsi="Arial"/>
          <w:b/>
          <w:bCs/>
          <w:color w:val="2E86C1"/>
          <w:sz w:val="26"/>
          <w:szCs w:val="26"/>
        </w:rPr>
        <w:t xml:space="preserve">13.1 Prerequisites</w:t>
      </w:r>
    </w:p>
    <w:p>
      <w:pPr>
        <w:spacing w:after="120" w:line="276"/>
      </w:pPr>
      <w:r>
        <w:rPr>
          <w:rFonts w:ascii="Arial" w:cs="Arial" w:eastAsia="Arial" w:hAnsi="Arial"/>
          <w:b/>
          <w:bCs/>
          <w:color w:val="2C3E50"/>
          <w:sz w:val="22"/>
          <w:szCs w:val="22"/>
        </w:rPr>
        <w:t xml:space="preserve">Node.js: </w:t>
      </w:r>
      <w:r>
        <w:rPr>
          <w:rFonts w:ascii="Arial" w:cs="Arial" w:eastAsia="Arial" w:hAnsi="Arial"/>
          <w:color w:val="2C3E50"/>
          <w:sz w:val="22"/>
          <w:szCs w:val="22"/>
        </w:rPr>
        <w:t xml:space="preserve">Version 18 or higher (https://nodejs.org)</w:t>
      </w:r>
    </w:p>
    <w:p>
      <w:pPr>
        <w:spacing w:after="120" w:line="276"/>
      </w:pPr>
      <w:r>
        <w:rPr>
          <w:rFonts w:ascii="Arial" w:cs="Arial" w:eastAsia="Arial" w:hAnsi="Arial"/>
          <w:b/>
          <w:bCs/>
          <w:color w:val="2C3E50"/>
          <w:sz w:val="22"/>
          <w:szCs w:val="22"/>
        </w:rPr>
        <w:t xml:space="preserve">MongoDB: </w:t>
      </w:r>
      <w:r>
        <w:rPr>
          <w:rFonts w:ascii="Arial" w:cs="Arial" w:eastAsia="Arial" w:hAnsi="Arial"/>
          <w:color w:val="2C3E50"/>
          <w:sz w:val="22"/>
          <w:szCs w:val="22"/>
        </w:rPr>
        <w:t xml:space="preserve">Version 7+ running locally on port 27017 (https://www.mongodb.com/try/download/community)</w:t>
      </w:r>
    </w:p>
    <w:p>
      <w:pPr>
        <w:spacing w:after="120" w:line="276"/>
      </w:pPr>
      <w:r>
        <w:rPr>
          <w:rFonts w:ascii="Arial" w:cs="Arial" w:eastAsia="Arial" w:hAnsi="Arial"/>
          <w:b/>
          <w:bCs/>
          <w:color w:val="2C3E50"/>
          <w:sz w:val="22"/>
          <w:szCs w:val="22"/>
        </w:rPr>
        <w:t xml:space="preserve">PostgreSQL: </w:t>
      </w:r>
      <w:r>
        <w:rPr>
          <w:rFonts w:ascii="Arial" w:cs="Arial" w:eastAsia="Arial" w:hAnsi="Arial"/>
          <w:color w:val="2C3E50"/>
          <w:sz w:val="22"/>
          <w:szCs w:val="22"/>
        </w:rPr>
        <w:t xml:space="preserve">Version 16+ with pgAdmin (https://www.postgresql.org/download/)</w:t>
      </w:r>
    </w:p>
    <w:p>
      <w:pPr>
        <w:spacing w:after="120" w:line="276"/>
      </w:pPr>
      <w:r>
        <w:rPr>
          <w:rFonts w:ascii="Arial" w:cs="Arial" w:eastAsia="Arial" w:hAnsi="Arial"/>
          <w:b/>
          <w:bCs/>
          <w:color w:val="2C3E50"/>
          <w:sz w:val="22"/>
          <w:szCs w:val="22"/>
        </w:rPr>
        <w:t xml:space="preserve">Postman: </w:t>
      </w:r>
      <w:r>
        <w:rPr>
          <w:rFonts w:ascii="Arial" w:cs="Arial" w:eastAsia="Arial" w:hAnsi="Arial"/>
          <w:color w:val="2C3E50"/>
          <w:sz w:val="22"/>
          <w:szCs w:val="22"/>
        </w:rPr>
        <w:t xml:space="preserve">For API testing (https://www.postman.com/downloads/)</w:t>
      </w:r>
    </w:p>
    <w:p>
      <w:pPr>
        <w:pStyle w:val="Heading2"/>
        <w:spacing w:before="280" w:after="160"/>
      </w:pPr>
      <w:r>
        <w:rPr>
          <w:rFonts w:ascii="Arial" w:cs="Arial" w:eastAsia="Arial" w:hAnsi="Arial"/>
          <w:b/>
          <w:bCs/>
          <w:color w:val="2E86C1"/>
          <w:sz w:val="26"/>
          <w:szCs w:val="26"/>
        </w:rPr>
        <w:t xml:space="preserve">13.2 Installation Steps</w:t>
      </w:r>
    </w:p>
    <w:p>
      <w:pPr>
        <w:spacing w:after="120" w:line="276"/>
      </w:pPr>
      <w:r>
        <w:rPr>
          <w:rFonts w:ascii="Arial" w:cs="Arial" w:eastAsia="Arial" w:hAnsi="Arial"/>
          <w:b/>
          <w:bCs/>
          <w:color w:val="2C3E50"/>
          <w:sz w:val="22"/>
          <w:szCs w:val="22"/>
        </w:rPr>
        <w:t xml:space="preserve">Step 1 — Create PostgreSQL Database: </w:t>
      </w:r>
      <w:r>
        <w:rPr>
          <w:rFonts w:ascii="Arial" w:cs="Arial" w:eastAsia="Arial" w:hAnsi="Arial"/>
          <w:color w:val="2C3E50"/>
          <w:sz w:val="22"/>
          <w:szCs w:val="22"/>
        </w:rPr>
        <w:t xml:space="preserve">Open psql (or pgAdmin) and run: CREATE DATABASE icds;</w:t>
      </w:r>
    </w:p>
    <w:p>
      <w:pPr>
        <w:spacing w:after="120" w:line="276"/>
      </w:pPr>
      <w:r>
        <w:rPr>
          <w:rFonts w:ascii="Arial" w:cs="Arial" w:eastAsia="Arial" w:hAnsi="Arial"/>
          <w:b/>
          <w:bCs/>
          <w:color w:val="2C3E50"/>
          <w:sz w:val="22"/>
          <w:szCs w:val="22"/>
        </w:rPr>
        <w:t xml:space="preserve">Step 2 — Configure Environment: </w:t>
      </w:r>
      <w:r>
        <w:rPr>
          <w:rFonts w:ascii="Arial" w:cs="Arial" w:eastAsia="Arial" w:hAnsi="Arial"/>
          <w:color w:val="2C3E50"/>
          <w:sz w:val="22"/>
          <w:szCs w:val="22"/>
        </w:rPr>
        <w:t xml:space="preserve">Rename .env.example to .env and update PG_PASSWORD with your PostgreSQL password. Update JWT_SECRET for production deployments.</w:t>
      </w:r>
    </w:p>
    <w:p>
      <w:pPr>
        <w:spacing w:after="120" w:line="276"/>
      </w:pPr>
      <w:r>
        <w:rPr>
          <w:rFonts w:ascii="Arial" w:cs="Arial" w:eastAsia="Arial" w:hAnsi="Arial"/>
          <w:b/>
          <w:bCs/>
          <w:color w:val="2C3E50"/>
          <w:sz w:val="22"/>
          <w:szCs w:val="22"/>
        </w:rPr>
        <w:t xml:space="preserve">Step 3 — Install Dependencies: </w:t>
      </w:r>
      <w:r>
        <w:rPr>
          <w:rFonts w:ascii="Arial" w:cs="Arial" w:eastAsia="Arial" w:hAnsi="Arial"/>
          <w:color w:val="2C3E50"/>
          <w:sz w:val="22"/>
          <w:szCs w:val="22"/>
        </w:rPr>
        <w:t xml:space="preserve">Run npm install in the project root. This installs all 13 production dependencies and 1 dev dependency (nodemon).</w:t>
      </w:r>
    </w:p>
    <w:p>
      <w:pPr>
        <w:spacing w:after="120" w:line="276"/>
      </w:pPr>
      <w:r>
        <w:rPr>
          <w:rFonts w:ascii="Arial" w:cs="Arial" w:eastAsia="Arial" w:hAnsi="Arial"/>
          <w:b/>
          <w:bCs/>
          <w:color w:val="2C3E50"/>
          <w:sz w:val="22"/>
          <w:szCs w:val="22"/>
        </w:rPr>
        <w:t xml:space="preserve">Step 4 — Seed the Database: </w:t>
      </w:r>
      <w:r>
        <w:rPr>
          <w:rFonts w:ascii="Arial" w:cs="Arial" w:eastAsia="Arial" w:hAnsi="Arial"/>
          <w:color w:val="2C3E50"/>
          <w:sz w:val="22"/>
          <w:szCs w:val="22"/>
        </w:rPr>
        <w:t xml:space="preserve">Run npm run seed to populate both databases with realistic demo data. This creates 249 users, 165 centres, 3,362 children, 2,510 screening records, and 388 referrals.</w:t>
      </w:r>
    </w:p>
    <w:p>
      <w:pPr>
        <w:spacing w:after="120" w:line="276"/>
      </w:pPr>
      <w:r>
        <w:rPr>
          <w:rFonts w:ascii="Arial" w:cs="Arial" w:eastAsia="Arial" w:hAnsi="Arial"/>
          <w:b/>
          <w:bCs/>
          <w:color w:val="2C3E50"/>
          <w:sz w:val="22"/>
          <w:szCs w:val="22"/>
        </w:rPr>
        <w:t xml:space="preserve">Step 5 — Fix Password Hashes: </w:t>
      </w:r>
      <w:r>
        <w:rPr>
          <w:rFonts w:ascii="Arial" w:cs="Arial" w:eastAsia="Arial" w:hAnsi="Arial"/>
          <w:color w:val="2C3E50"/>
          <w:sz w:val="22"/>
          <w:szCs w:val="22"/>
        </w:rPr>
        <w:t xml:space="preserve">After seeding, run the password reset script to properly hash demo credentials via bcrypt. This is needed because Sequelize’s bulkCreate bypasses the beforeCreate hook.</w:t>
      </w:r>
    </w:p>
    <w:p>
      <w:pPr>
        <w:spacing w:after="120" w:line="276"/>
      </w:pPr>
      <w:r>
        <w:rPr>
          <w:rFonts w:ascii="Arial" w:cs="Arial" w:eastAsia="Arial" w:hAnsi="Arial"/>
          <w:b/>
          <w:bCs/>
          <w:color w:val="2C3E50"/>
          <w:sz w:val="22"/>
          <w:szCs w:val="22"/>
        </w:rPr>
        <w:t xml:space="preserve">Step 6 — Start the Server: </w:t>
      </w:r>
      <w:r>
        <w:rPr>
          <w:rFonts w:ascii="Arial" w:cs="Arial" w:eastAsia="Arial" w:hAnsi="Arial"/>
          <w:color w:val="2C3E50"/>
          <w:sz w:val="22"/>
          <w:szCs w:val="22"/>
        </w:rPr>
        <w:t xml:space="preserve">Run npm run dev for development (auto-restart on changes) or npm start for production. Server launches at http://localhost:3000.</w:t>
      </w:r>
    </w:p>
    <w:p>
      <w:pPr>
        <w:spacing w:after="120" w:line="276"/>
      </w:pPr>
      <w:r>
        <w:rPr>
          <w:rFonts w:ascii="Arial" w:cs="Arial" w:eastAsia="Arial" w:hAnsi="Arial"/>
          <w:b/>
          <w:bCs/>
          <w:color w:val="2C3E50"/>
          <w:sz w:val="22"/>
          <w:szCs w:val="22"/>
        </w:rPr>
        <w:t xml:space="preserve">Step 7 — Import Postman Collection: </w:t>
      </w:r>
      <w:r>
        <w:rPr>
          <w:rFonts w:ascii="Arial" w:cs="Arial" w:eastAsia="Arial" w:hAnsi="Arial"/>
          <w:color w:val="2C3E50"/>
          <w:sz w:val="22"/>
          <w:szCs w:val="22"/>
        </w:rPr>
        <w:t xml:space="preserve">Import ICDS_API_Postman_Collection.json into Postman. Run Login as Admin first (token auto-saves), then run the collection excluding alternate logins and placeholder-ID requests.</w:t>
      </w:r>
    </w:p>
    <w:p>
      <w:pPr>
        <w:pStyle w:val="Heading2"/>
        <w:spacing w:before="280" w:after="160"/>
      </w:pPr>
      <w:r>
        <w:rPr>
          <w:rFonts w:ascii="Arial" w:cs="Arial" w:eastAsia="Arial" w:hAnsi="Arial"/>
          <w:b/>
          <w:bCs/>
          <w:color w:val="2E86C1"/>
          <w:sz w:val="26"/>
          <w:szCs w:val="26"/>
        </w:rPr>
        <w:t xml:space="preserve">13.3 Environment Variables Reference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c>
          <w:tcPr>
            <w:tcW w:type="dxa" w:w="2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Variable</w:t>
            </w:r>
          </w:p>
        </w:tc>
        <w:tc>
          <w:tcPr>
            <w:tcW w:type="dxa" w:w="3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Default Value</w:t>
            </w:r>
          </w:p>
        </w:tc>
        <w:tc>
          <w:tcPr>
            <w:tcW w:type="dxa" w:w="37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PORT</w:t>
            </w:r>
          </w:p>
        </w:tc>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3000</w:t>
            </w:r>
          </w:p>
        </w:tc>
        <w:tc>
          <w:tcPr>
            <w:tcW w:type="dxa" w:w="3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Server port number</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NODE_ENV</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development</w:t>
            </w:r>
          </w:p>
        </w:tc>
        <w:tc>
          <w:tcPr>
            <w:tcW w:type="dxa" w:w="3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Environment mode (development/production)</w:t>
            </w:r>
          </w:p>
        </w:tc>
      </w:tr>
      <w:tr>
        <w:tc>
          <w:tcPr>
            <w:tcW w:type="dxa" w:w="2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MONGO_URI</w:t>
            </w:r>
          </w:p>
        </w:tc>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mongodb://127.0.0.1:27017/icds</w:t>
            </w:r>
          </w:p>
        </w:tc>
        <w:tc>
          <w:tcPr>
            <w:tcW w:type="dxa" w:w="3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MongoDB connection string</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PG_HOST</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127.0.0.1</w:t>
            </w:r>
          </w:p>
        </w:tc>
        <w:tc>
          <w:tcPr>
            <w:tcW w:type="dxa" w:w="3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PostgreSQL host address</w:t>
            </w:r>
          </w:p>
        </w:tc>
      </w:tr>
      <w:tr>
        <w:tc>
          <w:tcPr>
            <w:tcW w:type="dxa" w:w="2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PG_PORT</w:t>
            </w:r>
          </w:p>
        </w:tc>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5432</w:t>
            </w:r>
          </w:p>
        </w:tc>
        <w:tc>
          <w:tcPr>
            <w:tcW w:type="dxa" w:w="3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PostgreSQL port</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PG_DATABASE</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icds</w:t>
            </w:r>
          </w:p>
        </w:tc>
        <w:tc>
          <w:tcPr>
            <w:tcW w:type="dxa" w:w="3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PostgreSQL database name</w:t>
            </w:r>
          </w:p>
        </w:tc>
      </w:tr>
      <w:tr>
        <w:tc>
          <w:tcPr>
            <w:tcW w:type="dxa" w:w="2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PG_USER</w:t>
            </w:r>
          </w:p>
        </w:tc>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postgres</w:t>
            </w:r>
          </w:p>
        </w:tc>
        <w:tc>
          <w:tcPr>
            <w:tcW w:type="dxa" w:w="3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PostgreSQL username</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PG_PASSWORD</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(your password)</w:t>
            </w:r>
          </w:p>
        </w:tc>
        <w:tc>
          <w:tcPr>
            <w:tcW w:type="dxa" w:w="3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PostgreSQL password (change this)</w:t>
            </w:r>
          </w:p>
        </w:tc>
      </w:tr>
      <w:tr>
        <w:tc>
          <w:tcPr>
            <w:tcW w:type="dxa" w:w="2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JWT_SECRET</w:t>
            </w:r>
          </w:p>
        </w:tc>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(random string)</w:t>
            </w:r>
          </w:p>
        </w:tc>
        <w:tc>
          <w:tcPr>
            <w:tcW w:type="dxa" w:w="3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JWT signing secret (change in production)</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JWT_EXPIRES_IN</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7d</w:t>
            </w:r>
          </w:p>
        </w:tc>
        <w:tc>
          <w:tcPr>
            <w:tcW w:type="dxa" w:w="3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Token expiration duration</w:t>
            </w:r>
          </w:p>
        </w:tc>
      </w:tr>
      <w:tr>
        <w:tc>
          <w:tcPr>
            <w:tcW w:type="dxa" w:w="2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RATE_LIMIT_MAX</w:t>
            </w:r>
          </w:p>
        </w:tc>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100</w:t>
            </w:r>
          </w:p>
        </w:tc>
        <w:tc>
          <w:tcPr>
            <w:tcW w:type="dxa" w:w="3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Max requests per rate limit window</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1" w:space="4"/>
      </w:pBdr>
      <w:jc w:val="center"/>
    </w:pPr>
    <w:r>
      <w:rPr>
        <w:rFonts w:ascii="Arial" w:cs="Arial" w:eastAsia="Arial" w:hAnsi="Arial"/>
        <w:color w:val="7F8C8D"/>
        <w:sz w:val="16"/>
        <w:szCs w:val="16"/>
      </w:rPr>
      <w:t xml:space="preserve">Vignan’s Institute of Information Technology  |  B.Tech CSE 2024-25  |  Page </w:t>
    </w:r>
    <w:r>
      <w:rPr>
        <w:rFonts w:ascii="Arial" w:cs="Arial" w:eastAsia="Arial" w:hAnsi="Arial"/>
        <w:color w:val="7F8C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2" w:space="4"/>
      </w:pBdr>
      <w:jc w:val="right"/>
    </w:pPr>
    <w:r>
      <w:rPr>
        <w:rFonts w:ascii="Arial" w:cs="Arial" w:eastAsia="Arial" w:hAnsi="Arial"/>
        <w:i/>
        <w:iCs/>
        <w:color w:val="7F8C8D"/>
        <w:sz w:val="16"/>
        <w:szCs w:val="16"/>
      </w:rPr>
      <w:t xml:space="preserve">ICDS Risk Monitoring System — Technical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2026-03-30T05:28:50.481Z</dcterms:created>
  <dcterms:modified xsi:type="dcterms:W3CDTF">2026-03-30T05:28:50.482Z</dcterms:modified>
</cp:coreProperties>
</file>

<file path=docProps/custom.xml><?xml version="1.0" encoding="utf-8"?>
<Properties xmlns="http://schemas.openxmlformats.org/officeDocument/2006/custom-properties" xmlns:vt="http://schemas.openxmlformats.org/officeDocument/2006/docPropsVTypes"/>
</file>