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Borders>
          <w:top w:val="none" w:color="auto" w:sz="0"/>
          <w:left w:val="none" w:color="auto" w:sz="0"/>
          <w:bottom w:val="single" w:color="C6A15B" w:sz="24"/>
          <w:right w:val="none" w:color="auto" w:sz="0"/>
          <w:insideH w:val="none" w:color="auto" w:sz="0"/>
          <w:insideV w:val="none" w:color="auto" w:sz="0"/>
        </w:tblBorders>
      </w:tblPr>
      <w:tblGrid>
        <w:gridCol w:w="6555"/>
        <w:gridCol w:w="3085"/>
      </w:tblGrid>
      <w:tr>
        <w:tc>
          <w:tcPr>
            <w:tcW w:type="dxa" w:w="655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E2A47" w:color="auto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D9BE8C"/>
                <w:spacing w:val="44"/>
                <w:sz w:val="15"/>
                <w:szCs w:val="15"/>
              </w:rPr>
              <w:t xml:space="preserve">PROFESSIONAL EXPERIENCE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Oracle PL/SQL Developer</w:t>
            </w:r>
            <w:r>
              <w:rPr>
                <w:rFonts w:ascii="Arial" w:cs="Arial" w:eastAsia="Arial" w:hAnsi="Arial"/>
                <w:color w:val="D9BE8C"/>
                <w:sz w:val="24"/>
                <w:szCs w:val="24"/>
              </w:rPr>
              <w:t xml:space="preserve">  —  Contractor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Bank of Singapore</w:t>
            </w:r>
            <w:r>
              <w:rPr>
                <w:rFonts w:ascii="Arial" w:cs="Arial" w:eastAsia="Arial" w:hAnsi="Arial"/>
                <w:color w:val="9FB2C6"/>
                <w:sz w:val="22"/>
                <w:szCs w:val="22"/>
              </w:rPr>
              <w:t xml:space="preserve">  ·  Singapore</w:t>
            </w:r>
          </w:p>
        </w:tc>
        <w:tc>
          <w:tcPr>
            <w:tcW w:type="dxa" w:w="308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E2A47" w:color="auto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9BE8C"/>
                <w:spacing w:val="20"/>
                <w:sz w:val="18"/>
                <w:szCs w:val="18"/>
              </w:rPr>
              <w:t xml:space="preserve">MAY 2026 – PRESENT</w:t>
            </w:r>
          </w:p>
        </w:tc>
      </w:tr>
    </w:tbl>
    <w:p>
      <w:pPr>
        <w:spacing w:after="60" w:before="420" w:line="300"/>
      </w:pPr>
      <w:r>
        <w:rPr>
          <w:rFonts w:ascii="Arial" w:cs="Arial" w:eastAsia="Arial" w:hAnsi="Arial"/>
          <w:i/>
          <w:iCs/>
          <w:color w:val="6B7684"/>
          <w:sz w:val="20"/>
          <w:szCs w:val="20"/>
        </w:rPr>
        <w:t xml:space="preserve">Contract engagement within the wealth management technology division, supporting the TAP Demenos platform and its integration with core banking workflows.</w:t>
      </w:r>
    </w:p>
    <w:p>
      <w:pPr>
        <w:pBdr>
          <w:bottom w:val="single" w:color="C6A15B" w:sz="10" w:space="4"/>
        </w:pBdr>
        <w:spacing w:after="220" w:before="420"/>
      </w:pPr>
      <w:r>
        <w:rPr>
          <w:rFonts w:ascii="Arial" w:cs="Arial" w:eastAsia="Arial" w:hAnsi="Arial"/>
          <w:b/>
          <w:bCs/>
          <w:color w:val="0E2A47"/>
          <w:spacing w:val="38"/>
          <w:sz w:val="19"/>
          <w:szCs w:val="19"/>
        </w:rPr>
        <w:t xml:space="preserve">KEY RESPONSIBILITIES &amp; IMPACT</w:t>
      </w:r>
    </w:p>
    <w:p>
      <w:pPr>
        <w:pStyle w:val="ListParagraph"/>
        <w:numPr>
          <w:ilvl w:val="0"/>
          <w:numId w:val="2"/>
        </w:numPr>
        <w:spacing w:after="170" w:line="312"/>
      </w:pPr>
      <w:r>
        <w:rPr>
          <w:rFonts w:ascii="Arial" w:cs="Arial" w:eastAsia="Arial" w:hAnsi="Arial"/>
          <w:b/>
          <w:bCs/>
          <w:color w:val="0E2A47"/>
          <w:sz w:val="21"/>
          <w:szCs w:val="21"/>
        </w:rPr>
        <w:t xml:space="preserve">Developing and maintaining PL/SQL components</w:t>
      </w:r>
      <w:r>
        <w:rPr>
          <w:rFonts w:ascii="Arial" w:cs="Arial" w:eastAsia="Arial" w:hAnsi="Arial"/>
          <w:color w:val="2E3A46"/>
          <w:sz w:val="21"/>
          <w:szCs w:val="21"/>
        </w:rPr>
        <w:t xml:space="preserve"> including tables, procedures, packages, functions, and triggers to support the TAP Demenos wealth management application, ensuring seamless integration with core banking workflows.</w:t>
      </w:r>
    </w:p>
    <w:p>
      <w:pPr>
        <w:pStyle w:val="ListParagraph"/>
        <w:numPr>
          <w:ilvl w:val="0"/>
          <w:numId w:val="2"/>
        </w:numPr>
        <w:spacing w:after="170" w:line="312"/>
      </w:pPr>
      <w:r>
        <w:rPr>
          <w:rFonts w:ascii="Arial" w:cs="Arial" w:eastAsia="Arial" w:hAnsi="Arial"/>
          <w:b/>
          <w:bCs/>
          <w:color w:val="0E2A47"/>
          <w:sz w:val="21"/>
          <w:szCs w:val="21"/>
        </w:rPr>
        <w:t xml:space="preserve">Writing and optimizing complex SQL queries</w:t>
      </w:r>
      <w:r>
        <w:rPr>
          <w:rFonts w:ascii="Arial" w:cs="Arial" w:eastAsia="Arial" w:hAnsi="Arial"/>
          <w:color w:val="2E3A46"/>
          <w:sz w:val="21"/>
          <w:szCs w:val="21"/>
        </w:rPr>
        <w:t xml:space="preserve"> for portfolio management, client reporting, and transaction processing, improving system efficiency and accuracy.</w:t>
      </w:r>
    </w:p>
    <w:p>
      <w:pPr>
        <w:pStyle w:val="ListParagraph"/>
        <w:numPr>
          <w:ilvl w:val="0"/>
          <w:numId w:val="2"/>
        </w:numPr>
        <w:spacing w:after="170" w:line="312"/>
      </w:pPr>
      <w:r>
        <w:rPr>
          <w:rFonts w:ascii="Arial" w:cs="Arial" w:eastAsia="Arial" w:hAnsi="Arial"/>
          <w:b/>
          <w:bCs/>
          <w:color w:val="0E2A47"/>
          <w:sz w:val="21"/>
          <w:szCs w:val="21"/>
        </w:rPr>
        <w:t xml:space="preserve">Performing query performance tuning</w:t>
      </w:r>
      <w:r>
        <w:rPr>
          <w:rFonts w:ascii="Arial" w:cs="Arial" w:eastAsia="Arial" w:hAnsi="Arial"/>
          <w:color w:val="2E3A46"/>
          <w:sz w:val="21"/>
          <w:szCs w:val="21"/>
        </w:rPr>
        <w:t xml:space="preserve"> using indexes, optimizer hints, and partitioning strategies to handle large volumes of wealth management data.</w:t>
      </w:r>
    </w:p>
    <w:p>
      <w:pPr>
        <w:pStyle w:val="ListParagraph"/>
        <w:numPr>
          <w:ilvl w:val="0"/>
          <w:numId w:val="2"/>
        </w:numPr>
        <w:spacing w:after="170" w:line="312"/>
      </w:pPr>
      <w:r>
        <w:rPr>
          <w:rFonts w:ascii="Arial" w:cs="Arial" w:eastAsia="Arial" w:hAnsi="Arial"/>
          <w:b/>
          <w:bCs/>
          <w:color w:val="0E2A47"/>
          <w:sz w:val="21"/>
          <w:szCs w:val="21"/>
        </w:rPr>
        <w:t xml:space="preserve">Implementing automation scripts</w:t>
      </w:r>
      <w:r>
        <w:rPr>
          <w:rFonts w:ascii="Arial" w:cs="Arial" w:eastAsia="Arial" w:hAnsi="Arial"/>
          <w:color w:val="2E3A46"/>
          <w:sz w:val="21"/>
          <w:szCs w:val="21"/>
        </w:rPr>
        <w:t xml:space="preserve"> for data validation, reconciliation, and audit tracking, reducing manual intervention and enhancing compliance.</w:t>
      </w:r>
    </w:p>
    <w:p>
      <w:pPr>
        <w:pStyle w:val="ListParagraph"/>
        <w:numPr>
          <w:ilvl w:val="0"/>
          <w:numId w:val="2"/>
        </w:numPr>
        <w:spacing w:after="170" w:line="312"/>
      </w:pPr>
      <w:r>
        <w:rPr>
          <w:rFonts w:ascii="Arial" w:cs="Arial" w:eastAsia="Arial" w:hAnsi="Arial"/>
          <w:b/>
          <w:bCs/>
          <w:color w:val="0E2A47"/>
          <w:sz w:val="21"/>
          <w:szCs w:val="21"/>
        </w:rPr>
        <w:t xml:space="preserve">Collaborating with cross-functional teams</w:t>
      </w:r>
      <w:r>
        <w:rPr>
          <w:rFonts w:ascii="Arial" w:cs="Arial" w:eastAsia="Arial" w:hAnsi="Arial"/>
          <w:color w:val="2E3A46"/>
          <w:sz w:val="21"/>
          <w:szCs w:val="21"/>
        </w:rPr>
        <w:t xml:space="preserve"> to design scalable database solutions aligned with evolving wealth management requirements.</w:t>
      </w:r>
    </w:p>
    <w:p>
      <w:pPr>
        <w:pStyle w:val="ListParagraph"/>
        <w:numPr>
          <w:ilvl w:val="0"/>
          <w:numId w:val="2"/>
        </w:numPr>
        <w:spacing w:after="170" w:line="312"/>
      </w:pPr>
      <w:r>
        <w:rPr>
          <w:rFonts w:ascii="Arial" w:cs="Arial" w:eastAsia="Arial" w:hAnsi="Arial"/>
          <w:b/>
          <w:bCs/>
          <w:color w:val="0E2A47"/>
          <w:sz w:val="21"/>
          <w:szCs w:val="21"/>
        </w:rPr>
        <w:t xml:space="preserve">Conducting root cause analysis and debugging</w:t>
      </w:r>
      <w:r>
        <w:rPr>
          <w:rFonts w:ascii="Arial" w:cs="Arial" w:eastAsia="Arial" w:hAnsi="Arial"/>
          <w:color w:val="2E3A46"/>
          <w:sz w:val="21"/>
          <w:szCs w:val="21"/>
        </w:rPr>
        <w:t xml:space="preserve"> to resolve performance bottlenecks and logical issues, ensuring system stability and client satisfaction.</w:t>
      </w:r>
    </w:p>
    <w:p>
      <w:pPr>
        <w:pStyle w:val="ListParagraph"/>
        <w:numPr>
          <w:ilvl w:val="0"/>
          <w:numId w:val="2"/>
        </w:numPr>
        <w:spacing w:after="170" w:line="312"/>
      </w:pPr>
      <w:r>
        <w:rPr>
          <w:rFonts w:ascii="Arial" w:cs="Arial" w:eastAsia="Arial" w:hAnsi="Arial"/>
          <w:b/>
          <w:bCs/>
          <w:color w:val="0E2A47"/>
          <w:sz w:val="21"/>
          <w:szCs w:val="21"/>
        </w:rPr>
        <w:t xml:space="preserve">Supporting batch job scheduling and monitoring using Control-M</w:t>
      </w:r>
      <w:r>
        <w:rPr>
          <w:rFonts w:ascii="Arial" w:cs="Arial" w:eastAsia="Arial" w:hAnsi="Arial"/>
          <w:color w:val="2E3A46"/>
          <w:sz w:val="21"/>
          <w:szCs w:val="21"/>
        </w:rPr>
        <w:t xml:space="preserve">, ensuring timely execution of critical wealth management processes.</w:t>
      </w:r>
    </w:p>
    <w:p>
      <w:pPr>
        <w:pStyle w:val="ListParagraph"/>
        <w:numPr>
          <w:ilvl w:val="0"/>
          <w:numId w:val="2"/>
        </w:numPr>
        <w:spacing w:after="170" w:line="312"/>
      </w:pPr>
      <w:r>
        <w:rPr>
          <w:rFonts w:ascii="Arial" w:cs="Arial" w:eastAsia="Arial" w:hAnsi="Arial"/>
          <w:b/>
          <w:bCs/>
          <w:color w:val="0E2A47"/>
          <w:sz w:val="21"/>
          <w:szCs w:val="21"/>
        </w:rPr>
        <w:t xml:space="preserve">Creating shell scripts</w:t>
      </w:r>
      <w:r>
        <w:rPr>
          <w:rFonts w:ascii="Arial" w:cs="Arial" w:eastAsia="Arial" w:hAnsi="Arial"/>
          <w:color w:val="2E3A46"/>
          <w:sz w:val="21"/>
          <w:szCs w:val="21"/>
        </w:rPr>
        <w:t xml:space="preserve"> to automate everyday batch operations, streamlining workflows and improving operational efficiency.</w:t>
      </w:r>
    </w:p>
    <w:p>
      <w:pPr>
        <w:pBdr>
          <w:bottom w:val="single" w:color="C6A15B" w:sz="10" w:space="4"/>
        </w:pBdr>
        <w:spacing w:after="220" w:before="420"/>
      </w:pPr>
      <w:r>
        <w:rPr>
          <w:rFonts w:ascii="Arial" w:cs="Arial" w:eastAsia="Arial" w:hAnsi="Arial"/>
          <w:b/>
          <w:bCs/>
          <w:color w:val="0E2A47"/>
          <w:spacing w:val="38"/>
          <w:sz w:val="19"/>
          <w:szCs w:val="19"/>
        </w:rPr>
        <w:t xml:space="preserve">CORE COMPETENCIES</w:t>
      </w:r>
    </w:p>
    <w:p>
      <w:pPr>
        <w:spacing w:after="200" w:line="340"/>
      </w:pPr>
      <w:r>
        <w:rPr>
          <w:rFonts w:ascii="Arial" w:cs="Arial" w:eastAsia="Arial" w:hAnsi="Arial"/>
          <w:b/>
          <w:bCs/>
          <w:color w:val="0E2A47"/>
          <w:sz w:val="20"/>
          <w:szCs w:val="20"/>
        </w:rPr>
        <w:t xml:space="preserve">Oracle PL/SQL</w:t>
      </w:r>
      <w:r>
        <w:rPr>
          <w:rFonts w:ascii="Arial" w:cs="Arial" w:eastAsia="Arial" w:hAnsi="Arial"/>
          <w:b/>
          <w:bCs/>
          <w:color w:val="C6A15B"/>
          <w:sz w:val="20"/>
          <w:szCs w:val="20"/>
        </w:rPr>
        <w:t xml:space="preserve">   •   </w:t>
      </w:r>
      <w:r>
        <w:rPr>
          <w:rFonts w:ascii="Arial" w:cs="Arial" w:eastAsia="Arial" w:hAnsi="Arial"/>
          <w:b/>
          <w:bCs/>
          <w:color w:val="0E2A47"/>
          <w:sz w:val="20"/>
          <w:szCs w:val="20"/>
        </w:rPr>
        <w:t xml:space="preserve">SQL Query Optimization</w:t>
      </w:r>
      <w:r>
        <w:rPr>
          <w:rFonts w:ascii="Arial" w:cs="Arial" w:eastAsia="Arial" w:hAnsi="Arial"/>
          <w:b/>
          <w:bCs/>
          <w:color w:val="C6A15B"/>
          <w:sz w:val="20"/>
          <w:szCs w:val="20"/>
        </w:rPr>
        <w:t xml:space="preserve">   •   </w:t>
      </w:r>
      <w:r>
        <w:rPr>
          <w:rFonts w:ascii="Arial" w:cs="Arial" w:eastAsia="Arial" w:hAnsi="Arial"/>
          <w:b/>
          <w:bCs/>
          <w:color w:val="0E2A47"/>
          <w:sz w:val="20"/>
          <w:szCs w:val="20"/>
        </w:rPr>
        <w:t xml:space="preserve">Performance Tuning</w:t>
      </w:r>
      <w:r>
        <w:rPr>
          <w:rFonts w:ascii="Arial" w:cs="Arial" w:eastAsia="Arial" w:hAnsi="Arial"/>
          <w:b/>
          <w:bCs/>
          <w:color w:val="C6A15B"/>
          <w:sz w:val="20"/>
          <w:szCs w:val="20"/>
        </w:rPr>
        <w:t xml:space="preserve">   •   </w:t>
      </w:r>
      <w:r>
        <w:rPr>
          <w:rFonts w:ascii="Arial" w:cs="Arial" w:eastAsia="Arial" w:hAnsi="Arial"/>
          <w:b/>
          <w:bCs/>
          <w:color w:val="0E2A47"/>
          <w:sz w:val="20"/>
          <w:szCs w:val="20"/>
        </w:rPr>
        <w:t xml:space="preserve">Partitioning</w:t>
      </w:r>
      <w:r>
        <w:rPr>
          <w:rFonts w:ascii="Arial" w:cs="Arial" w:eastAsia="Arial" w:hAnsi="Arial"/>
          <w:b/>
          <w:bCs/>
          <w:color w:val="C6A15B"/>
          <w:sz w:val="20"/>
          <w:szCs w:val="20"/>
        </w:rPr>
        <w:t xml:space="preserve">   •   </w:t>
      </w:r>
      <w:r>
        <w:rPr>
          <w:rFonts w:ascii="Arial" w:cs="Arial" w:eastAsia="Arial" w:hAnsi="Arial"/>
          <w:b/>
          <w:bCs/>
          <w:color w:val="0E2A47"/>
          <w:sz w:val="20"/>
          <w:szCs w:val="20"/>
        </w:rPr>
        <w:t xml:space="preserve">Data Reconciliation</w:t>
      </w:r>
      <w:r>
        <w:rPr>
          <w:rFonts w:ascii="Arial" w:cs="Arial" w:eastAsia="Arial" w:hAnsi="Arial"/>
          <w:b/>
          <w:bCs/>
          <w:color w:val="C6A15B"/>
          <w:sz w:val="20"/>
          <w:szCs w:val="20"/>
        </w:rPr>
        <w:t xml:space="preserve">   •   </w:t>
      </w:r>
      <w:r>
        <w:rPr>
          <w:rFonts w:ascii="Arial" w:cs="Arial" w:eastAsia="Arial" w:hAnsi="Arial"/>
          <w:b/>
          <w:bCs/>
          <w:color w:val="0E2A47"/>
          <w:sz w:val="20"/>
          <w:szCs w:val="20"/>
        </w:rPr>
        <w:t xml:space="preserve">Control-M</w:t>
      </w:r>
      <w:r>
        <w:rPr>
          <w:rFonts w:ascii="Arial" w:cs="Arial" w:eastAsia="Arial" w:hAnsi="Arial"/>
          <w:b/>
          <w:bCs/>
          <w:color w:val="C6A15B"/>
          <w:sz w:val="20"/>
          <w:szCs w:val="20"/>
        </w:rPr>
        <w:t xml:space="preserve">   •   </w:t>
      </w:r>
      <w:r>
        <w:rPr>
          <w:rFonts w:ascii="Arial" w:cs="Arial" w:eastAsia="Arial" w:hAnsi="Arial"/>
          <w:b/>
          <w:bCs/>
          <w:color w:val="0E2A47"/>
          <w:sz w:val="20"/>
          <w:szCs w:val="20"/>
        </w:rPr>
        <w:t xml:space="preserve">Shell Scripting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0D6" w:sz="8" w:space="6"/>
      </w:pBdr>
      <w:tabs>
        <w:tab w:val="right" w:pos="9640"/>
      </w:tabs>
    </w:pPr>
    <w:r>
      <w:rPr>
        <w:rFonts w:ascii="Arial" w:cs="Arial" w:eastAsia="Arial" w:hAnsi="Arial"/>
        <w:color w:val="6B7684"/>
        <w:spacing w:val="16"/>
        <w:sz w:val="14"/>
        <w:szCs w:val="14"/>
      </w:rPr>
      <w:t xml:space="preserve">ORACLE PL/SQL DEVELOPER  ·  BANK OF SINGAPORE</w:t>
    </w:r>
    <w:r>
      <w:rPr>
        <w:rFonts w:ascii="Arial" w:cs="Arial" w:eastAsia="Arial" w:hAnsi="Arial"/>
        <w:color w:val="6B7684"/>
        <w:spacing w:val="16"/>
        <w:sz w:val="14"/>
        <w:szCs w:val="14"/>
      </w:rPr>
      <w:t xml:space="preserve">	MAY 2026 – PRESENT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60"/>
      </w:pPr>
      <w:rPr>
        <w:rFonts w:ascii="Arial" w:cs="Arial" w:eastAsia="Arial" w:hAnsi="Arial"/>
        <w:b/>
        <w:bCs/>
        <w:color w:val="C6A15B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Oracle PL/SQL Developer — Bank of Singapore</dc:title>
  <dc:creator>Un-named</dc:creator>
  <cp:lastModifiedBy>Un-named</cp:lastModifiedBy>
  <cp:revision>1</cp:revision>
  <dcterms:created xsi:type="dcterms:W3CDTF">2026-07-13T14:18:43.372Z</dcterms:created>
  <dcterms:modified xsi:type="dcterms:W3CDTF">2026-07-13T14:18:43.376Z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