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Dynatrace Day 5: Settings, AppSec, SLOs &amp; Best Practices – Detailed Notes</w:t>
      </w:r>
    </w:p>
    <w:p>
      <w:pPr>
        <w:pStyle w:val="Heading1"/>
      </w:pPr>
      <w:r>
        <w:t>34. Monitoring Settings</w:t>
      </w:r>
    </w:p>
    <w:p>
      <w:r>
        <w:t>- General Monitoring Configurations:</w:t>
        <w:br/>
        <w:t xml:space="preserve">  - These include the global parameters and feature toggles that determine how Dynatrace captures and reports data.</w:t>
        <w:br/>
        <w:t xml:space="preserve">  - Settings include full-stack vs infrastructure-only monitoring, enabling/disabling log ingestion, and configuring JavaScript injection for RUM.</w:t>
        <w:br/>
        <w:t xml:space="preserve">  - Define default behaviors for newly added hosts or environments.</w:t>
        <w:br/>
        <w:br/>
        <w:t>- Network Zones &amp; Data Retention:</w:t>
        <w:br/>
        <w:t xml:space="preserve">  - Network zones allow routing of OneAgent traffic through preferred ActiveGates, especially useful in distributed or hybrid cloud environments.</w:t>
        <w:br/>
        <w:t xml:space="preserve">  - Retention policies define how long data is stored (metrics, logs, sessions), balancing performance insights vs. license consumption.</w:t>
        <w:br/>
        <w:br/>
        <w:t>Example: Configure a 35-day retention for high-priority metrics and 7-day for debug-level logs.</w:t>
      </w:r>
    </w:p>
    <w:p>
      <w:pPr>
        <w:pStyle w:val="Heading1"/>
      </w:pPr>
      <w:r>
        <w:t>35. Web &amp; Mobile Settings</w:t>
      </w:r>
    </w:p>
    <w:p>
      <w:r>
        <w:t>- Privacy Controls:</w:t>
        <w:br/>
        <w:t xml:space="preserve">  - Manage how user information is collected and stored.</w:t>
        <w:br/>
        <w:t xml:space="preserve">  - Control visibility of IPs, user IDs, session IDs, or specific UI fields.</w:t>
        <w:br/>
        <w:t xml:space="preserve">  - Toggle session replay capture globally or per application.</w:t>
        <w:br/>
        <w:br/>
        <w:t>- Masking &amp; User Tracking Policies:</w:t>
        <w:br/>
        <w:t xml:space="preserve">  - Mask sensitive parameters in URLs or form fields (e.g., passwords, credit card numbers).</w:t>
        <w:br/>
        <w:t xml:space="preserve">  - Define sampling rules for sessions (e.g., capture 20% of mobile sessions).</w:t>
        <w:br/>
        <w:br/>
        <w:t>Example: Mask query strings for all URLs except those that contain public documentation endpoints.</w:t>
      </w:r>
    </w:p>
    <w:p>
      <w:pPr>
        <w:pStyle w:val="Heading1"/>
      </w:pPr>
      <w:r>
        <w:t>36. Process Group Settings</w:t>
      </w:r>
    </w:p>
    <w:p>
      <w:r>
        <w:t>- Optimizing PG Detection Rules:</w:t>
        <w:br/>
        <w:t xml:space="preserve">  - By default, Dynatrace uses executable path and process command-line parameters to group processes.</w:t>
        <w:br/>
        <w:t xml:space="preserve">  - Override rules to create logical groupings (e.g., differentiate by environment or container label).</w:t>
        <w:br/>
        <w:br/>
        <w:t>- PG Naming and Custom Metadata:</w:t>
        <w:br/>
        <w:t xml:space="preserve">  - Use naming templates like `TeamName-ServiceName-Environment`.</w:t>
        <w:br/>
        <w:t xml:space="preserve">  - Add metadata to assist with tagging, filtering, and alerting.</w:t>
        <w:br/>
        <w:br/>
        <w:t>Example: Rename all Tomcat processes to reflect owning microservice and Kubernetes namespace.</w:t>
      </w:r>
    </w:p>
    <w:p>
      <w:pPr>
        <w:pStyle w:val="Heading1"/>
      </w:pPr>
      <w:r>
        <w:t>37. Server-side Services Settings</w:t>
      </w:r>
    </w:p>
    <w:p>
      <w:r>
        <w:t>- Custom Service Detection:</w:t>
        <w:br/>
        <w:t xml:space="preserve">  - Helps isolate APIs under a common process into separate logical services.</w:t>
        <w:br/>
        <w:t xml:space="preserve">  - Define split by HTTP path, URL regex, or request headers.</w:t>
        <w:br/>
        <w:br/>
        <w:t>- Additional Service Monitoring:</w:t>
        <w:br/>
        <w:t xml:space="preserve">  - Monitor queued or background jobs (e.g., Kafka consumers, batch jobs).</w:t>
        <w:br/>
        <w:t xml:space="preserve">  - Customize what constitutes a request failure (e.g., HTTP 400+ or business exception).</w:t>
      </w:r>
    </w:p>
    <w:p>
      <w:pPr>
        <w:pStyle w:val="Heading1"/>
      </w:pPr>
      <w:r>
        <w:t>38. DAVIS AI Assistant Deep Dive</w:t>
      </w:r>
    </w:p>
    <w:p>
      <w:r>
        <w:t>- Using Davis Assistant in Workflows:</w:t>
        <w:br/>
        <w:t xml:space="preserve">  - Embed Davis insights into your incident workflows and escalation paths.</w:t>
        <w:br/>
        <w:t xml:space="preserve">  - Use Davis REST API to fetch root cause analysis programmatically.</w:t>
        <w:br/>
        <w:br/>
        <w:t>- Integrating with Chat Tools (Slack, MS Teams):</w:t>
        <w:br/>
        <w:t xml:space="preserve">  - Install Davis chatbots to interact in real time.</w:t>
        <w:br/>
        <w:t xml:space="preserve">  - Query live performance issues or trigger problem notifications.</w:t>
        <w:br/>
        <w:br/>
        <w:t>Example: Slack channel auto-notified by Davis when cart service slows down by 40%.</w:t>
        <w:br/>
        <w:br/>
        <w:t>Diagram: Davis posting a problem card to MS Teams with impact analysis and suggested root cause.</w:t>
      </w:r>
    </w:p>
    <w:p>
      <w:pPr>
        <w:pStyle w:val="Heading1"/>
      </w:pPr>
      <w:r>
        <w:t>39. AppSec (Application Security Monitoring)</w:t>
      </w:r>
    </w:p>
    <w:p>
      <w:r>
        <w:t>- Vulnerability Detection in Runtime:</w:t>
        <w:br/>
        <w:t xml:space="preserve">  - Dynatrace detects open-source library vulnerabilities by scanning actual binaries loaded at runtime.</w:t>
        <w:br/>
        <w:t xml:space="preserve">  - Cross-references against the Snyk vulnerability database.</w:t>
        <w:br/>
        <w:br/>
        <w:t>- Security Overview Dashboard:</w:t>
        <w:br/>
        <w:t xml:space="preserve">  - Shows vulnerable components by severity, exploitability, and actual usage.</w:t>
        <w:br/>
        <w:t xml:space="preserve">  - Aggregates exposure metrics across environments.</w:t>
        <w:br/>
        <w:br/>
        <w:t>- DevSecOps Use Cases:</w:t>
        <w:br/>
        <w:t xml:space="preserve">  - Alert only on used vulnerable methods, not just presence of libraries.</w:t>
        <w:br/>
        <w:t xml:space="preserve">  - Tag services with security compliance status (e.g., PCI-compliant).</w:t>
        <w:br/>
        <w:br/>
        <w:t>Example: Alert triggered on Log4Shell CVE (CVE-2021-44228) affecting a running backend instance.</w:t>
      </w:r>
    </w:p>
    <w:p>
      <w:pPr>
        <w:pStyle w:val="Heading1"/>
      </w:pPr>
      <w:r>
        <w:t>40. SLOs &amp; SLIs</w:t>
      </w:r>
    </w:p>
    <w:p>
      <w:r>
        <w:t>- Defining Service-Level Objectives and Indicators:</w:t>
        <w:br/>
        <w:t xml:space="preserve">  - SLIs include metrics such as request success rate, latency percentiles (p90/p95), and availability.</w:t>
        <w:br/>
        <w:t xml:space="preserve">  - SLOs define targets, such as 99.9% success rate for checkout service over 30 days.</w:t>
        <w:br/>
        <w:br/>
        <w:t>- Setting Thresholds and Tracking Compliance:</w:t>
        <w:br/>
        <w:t xml:space="preserve">  - Display burn-down charts and daily SLO achievement percentages.</w:t>
        <w:br/>
        <w:t xml:space="preserve">  - Get alerted on error budget depletion.</w:t>
        <w:br/>
        <w:br/>
        <w:t>- Shift-Left Strategies for Performance:</w:t>
        <w:br/>
        <w:t xml:space="preserve">  - Enforce SLO checks during pre-production validations.</w:t>
        <w:br/>
        <w:t xml:space="preserve">  - Block releases when SLO targets aren’t met.</w:t>
        <w:br/>
        <w:br/>
        <w:t>Example: Integrate SLO compliance in Jenkins pipeline to fail deployments if error rate &gt; 1%.</w:t>
      </w:r>
    </w:p>
    <w:p>
      <w:pPr>
        <w:pStyle w:val="Heading1"/>
      </w:pPr>
      <w:r>
        <w:t>41. Best Practices &amp; Wrap-up</w:t>
      </w:r>
    </w:p>
    <w:p>
      <w:r>
        <w:t>- Governance, Monitoring Strategy:</w:t>
        <w:br/>
        <w:t xml:space="preserve">  - Use tagging standards and Management Zones to segregate responsibilities.</w:t>
        <w:br/>
        <w:t xml:space="preserve">  - Centralize control of alert routing and dashboard visibility.</w:t>
        <w:br/>
        <w:br/>
        <w:t>- Scaling Dynatrace in Large Environments:</w:t>
        <w:br/>
        <w:t xml:space="preserve">  - Use environment APIs to deploy monitoring as part of infrastructure automation.</w:t>
        <w:br/>
        <w:t xml:space="preserve">  - Deploy ActiveGates per region or VPC to ensure data locality and scale.</w:t>
        <w:br/>
        <w:br/>
        <w:t>- Training Resources and Certifications:</w:t>
        <w:br/>
        <w:t xml:space="preserve">  - Leverage Dynatrace University courses, webinars, and Perform certification paths.</w:t>
        <w:br/>
        <w:t xml:space="preserve">  - Recommended certs: Associate (intro), Professional (hands-on), and AppSec Specialist.</w:t>
        <w:br/>
        <w:br/>
        <w:t>Example: Use Terraform modules to deploy OneAgent and configure alerting policies across 200+ hosts.</w:t>
      </w:r>
    </w:p>
    <w:p>
      <w:r>
        <w:t>This concludes Day 5, now featuring fully expanded detailed explanations, use cases, examples, and diagrams to enhance learning outcomes on Dynatrace settings, AppSec, SLOs, and scaling best practices.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