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3988" w14:textId="77777777" w:rsidR="006F17CE" w:rsidRDefault="006F17CE" w:rsidP="006F17CE">
      <w:pPr>
        <w:pStyle w:val="paragraph"/>
        <w:spacing w:line="480" w:lineRule="auto"/>
        <w:rPr>
          <w:b/>
          <w:bCs/>
          <w:caps/>
        </w:rPr>
      </w:pPr>
      <w:r>
        <w:rPr>
          <w:b/>
          <w:bCs/>
          <w:caps/>
        </w:rPr>
        <w:t>MULTIMEDIA APPENDIX</w:t>
      </w:r>
    </w:p>
    <w:p w14:paraId="0676FEC9" w14:textId="77777777" w:rsidR="006F17CE" w:rsidRDefault="006F17CE" w:rsidP="006F17CE">
      <w:pPr>
        <w:pStyle w:val="paragraph"/>
        <w:spacing w:line="480" w:lineRule="auto"/>
        <w:rPr>
          <w:b/>
          <w:bCs/>
          <w:caps/>
        </w:rPr>
      </w:pPr>
      <w:r>
        <w:rPr>
          <w:b/>
          <w:bCs/>
          <w:caps/>
        </w:rPr>
        <w:t>CODEBOOK</w:t>
      </w:r>
    </w:p>
    <w:tbl>
      <w:tblPr>
        <w:tblStyle w:val="TableGrid"/>
        <w:tblW w:w="0" w:type="auto"/>
        <w:tblLook w:val="04A0" w:firstRow="1" w:lastRow="0" w:firstColumn="1" w:lastColumn="0" w:noHBand="0" w:noVBand="1"/>
      </w:tblPr>
      <w:tblGrid>
        <w:gridCol w:w="2633"/>
        <w:gridCol w:w="3384"/>
        <w:gridCol w:w="3333"/>
      </w:tblGrid>
      <w:tr w:rsidR="006F17CE" w:rsidRPr="00A54B0D" w14:paraId="2973B5AC" w14:textId="77777777" w:rsidTr="00577ED1">
        <w:trPr>
          <w:trHeight w:val="288"/>
        </w:trPr>
        <w:tc>
          <w:tcPr>
            <w:tcW w:w="0" w:type="auto"/>
            <w:hideMark/>
          </w:tcPr>
          <w:p w14:paraId="22012EEE"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t>Variable</w:t>
            </w:r>
          </w:p>
        </w:tc>
        <w:tc>
          <w:tcPr>
            <w:tcW w:w="0" w:type="auto"/>
            <w:hideMark/>
          </w:tcPr>
          <w:p w14:paraId="22723129"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t>Categories</w:t>
            </w:r>
          </w:p>
        </w:tc>
        <w:tc>
          <w:tcPr>
            <w:tcW w:w="0" w:type="auto"/>
            <w:hideMark/>
          </w:tcPr>
          <w:p w14:paraId="11D4BD6D"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t>Description/Notes</w:t>
            </w:r>
          </w:p>
        </w:tc>
      </w:tr>
      <w:tr w:rsidR="006F17CE" w:rsidRPr="00A54B0D" w14:paraId="5676B6EC" w14:textId="77777777" w:rsidTr="00577ED1">
        <w:trPr>
          <w:trHeight w:val="288"/>
        </w:trPr>
        <w:tc>
          <w:tcPr>
            <w:tcW w:w="0" w:type="auto"/>
            <w:hideMark/>
          </w:tcPr>
          <w:p w14:paraId="570D4E5E" w14:textId="77777777" w:rsidR="006F17CE" w:rsidRPr="00A54B0D" w:rsidRDefault="006F17CE" w:rsidP="00577ED1">
            <w:pPr>
              <w:rPr>
                <w:rFonts w:ascii="Times New Roman" w:hAnsi="Times New Roman" w:cs="Times New Roman"/>
                <w:sz w:val="24"/>
                <w:szCs w:val="24"/>
              </w:rPr>
            </w:pPr>
            <w:proofErr w:type="spellStart"/>
            <w:r w:rsidRPr="00A54B0D">
              <w:rPr>
                <w:rFonts w:ascii="Times New Roman" w:hAnsi="Times New Roman" w:cs="Times New Roman"/>
                <w:sz w:val="24"/>
                <w:szCs w:val="24"/>
              </w:rPr>
              <w:t>REDCap</w:t>
            </w:r>
            <w:proofErr w:type="spellEnd"/>
            <w:r w:rsidRPr="00A54B0D">
              <w:rPr>
                <w:rFonts w:ascii="Times New Roman" w:hAnsi="Times New Roman" w:cs="Times New Roman"/>
                <w:sz w:val="24"/>
                <w:szCs w:val="24"/>
              </w:rPr>
              <w:t xml:space="preserve"> Record ID (</w:t>
            </w:r>
            <w:proofErr w:type="spellStart"/>
            <w:r w:rsidRPr="00A54B0D">
              <w:rPr>
                <w:rFonts w:ascii="Times New Roman" w:hAnsi="Times New Roman" w:cs="Times New Roman"/>
                <w:sz w:val="24"/>
                <w:szCs w:val="24"/>
              </w:rPr>
              <w:t>Uneditable</w:t>
            </w:r>
            <w:proofErr w:type="spellEnd"/>
            <w:r w:rsidRPr="00A54B0D">
              <w:rPr>
                <w:rFonts w:ascii="Times New Roman" w:hAnsi="Times New Roman" w:cs="Times New Roman"/>
                <w:sz w:val="24"/>
                <w:szCs w:val="24"/>
              </w:rPr>
              <w:t>)</w:t>
            </w:r>
          </w:p>
        </w:tc>
        <w:tc>
          <w:tcPr>
            <w:tcW w:w="0" w:type="auto"/>
            <w:hideMark/>
          </w:tcPr>
          <w:p w14:paraId="34843F8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Integer</w:t>
            </w:r>
          </w:p>
        </w:tc>
        <w:tc>
          <w:tcPr>
            <w:tcW w:w="0" w:type="auto"/>
            <w:hideMark/>
          </w:tcPr>
          <w:p w14:paraId="508697B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Unique </w:t>
            </w:r>
            <w:proofErr w:type="spellStart"/>
            <w:r w:rsidRPr="00A54B0D">
              <w:rPr>
                <w:rFonts w:ascii="Times New Roman" w:hAnsi="Times New Roman" w:cs="Times New Roman"/>
                <w:sz w:val="24"/>
                <w:szCs w:val="24"/>
              </w:rPr>
              <w:t>REDCap</w:t>
            </w:r>
            <w:proofErr w:type="spellEnd"/>
            <w:r w:rsidRPr="00A54B0D">
              <w:rPr>
                <w:rFonts w:ascii="Times New Roman" w:hAnsi="Times New Roman" w:cs="Times New Roman"/>
                <w:sz w:val="24"/>
                <w:szCs w:val="24"/>
              </w:rPr>
              <w:t xml:space="preserve"> Record ID Number</w:t>
            </w:r>
          </w:p>
        </w:tc>
      </w:tr>
      <w:tr w:rsidR="006F17CE" w:rsidRPr="00A54B0D" w14:paraId="6513E0AB" w14:textId="77777777" w:rsidTr="00577ED1">
        <w:trPr>
          <w:trHeight w:val="288"/>
        </w:trPr>
        <w:tc>
          <w:tcPr>
            <w:tcW w:w="0" w:type="auto"/>
            <w:hideMark/>
          </w:tcPr>
          <w:p w14:paraId="2354501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Quorum ID Number [DO NOT EDIT THIS FIELD]</w:t>
            </w:r>
          </w:p>
        </w:tc>
        <w:tc>
          <w:tcPr>
            <w:tcW w:w="0" w:type="auto"/>
            <w:hideMark/>
          </w:tcPr>
          <w:p w14:paraId="7491E38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Integer</w:t>
            </w:r>
          </w:p>
        </w:tc>
        <w:tc>
          <w:tcPr>
            <w:tcW w:w="0" w:type="auto"/>
            <w:hideMark/>
          </w:tcPr>
          <w:p w14:paraId="1BD2124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Unique Quorum ID Number</w:t>
            </w:r>
          </w:p>
        </w:tc>
      </w:tr>
      <w:tr w:rsidR="006F17CE" w:rsidRPr="00A54B0D" w14:paraId="334B4014" w14:textId="77777777" w:rsidTr="00577ED1">
        <w:trPr>
          <w:trHeight w:val="368"/>
        </w:trPr>
        <w:tc>
          <w:tcPr>
            <w:tcW w:w="0" w:type="auto"/>
            <w:hideMark/>
          </w:tcPr>
          <w:p w14:paraId="469EE6C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Coder and/or Double Coder Name</w:t>
            </w:r>
          </w:p>
        </w:tc>
        <w:tc>
          <w:tcPr>
            <w:tcW w:w="0" w:type="auto"/>
            <w:hideMark/>
          </w:tcPr>
          <w:p w14:paraId="59080DE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Text</w:t>
            </w:r>
          </w:p>
        </w:tc>
        <w:tc>
          <w:tcPr>
            <w:tcW w:w="0" w:type="auto"/>
            <w:hideMark/>
          </w:tcPr>
          <w:p w14:paraId="250B085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Identify Coder and/or Double Coder</w:t>
            </w:r>
          </w:p>
        </w:tc>
      </w:tr>
      <w:tr w:rsidR="006F17CE" w:rsidRPr="00A54B0D" w14:paraId="2EB37A70" w14:textId="77777777" w:rsidTr="00577ED1">
        <w:trPr>
          <w:trHeight w:val="288"/>
        </w:trPr>
        <w:tc>
          <w:tcPr>
            <w:tcW w:w="0" w:type="auto"/>
            <w:hideMark/>
          </w:tcPr>
          <w:p w14:paraId="68E616A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X Post</w:t>
            </w:r>
          </w:p>
        </w:tc>
        <w:tc>
          <w:tcPr>
            <w:tcW w:w="0" w:type="auto"/>
            <w:hideMark/>
          </w:tcPr>
          <w:p w14:paraId="5DFF16B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Text</w:t>
            </w:r>
          </w:p>
        </w:tc>
        <w:tc>
          <w:tcPr>
            <w:tcW w:w="0" w:type="auto"/>
            <w:hideMark/>
          </w:tcPr>
          <w:p w14:paraId="1E188BA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The Post will be populated into the field.</w:t>
            </w:r>
          </w:p>
        </w:tc>
      </w:tr>
      <w:tr w:rsidR="006F17CE" w:rsidRPr="00A54B0D" w14:paraId="0AFC6717" w14:textId="77777777" w:rsidTr="00577ED1">
        <w:trPr>
          <w:trHeight w:val="288"/>
        </w:trPr>
        <w:tc>
          <w:tcPr>
            <w:tcW w:w="0" w:type="auto"/>
            <w:gridSpan w:val="3"/>
          </w:tcPr>
          <w:p w14:paraId="366CE791" w14:textId="77777777" w:rsidR="006F17CE" w:rsidRPr="00A54B0D" w:rsidRDefault="006F17CE" w:rsidP="00577ED1">
            <w:pPr>
              <w:rPr>
                <w:rFonts w:ascii="Times New Roman" w:hAnsi="Times New Roman" w:cs="Times New Roman"/>
                <w:b/>
                <w:bCs/>
                <w:i/>
                <w:iCs/>
                <w:sz w:val="24"/>
                <w:szCs w:val="24"/>
              </w:rPr>
            </w:pPr>
            <w:r w:rsidRPr="00A54B0D">
              <w:rPr>
                <w:rFonts w:ascii="Times New Roman" w:hAnsi="Times New Roman" w:cs="Times New Roman"/>
                <w:b/>
                <w:bCs/>
                <w:i/>
                <w:iCs/>
                <w:sz w:val="24"/>
                <w:szCs w:val="24"/>
              </w:rPr>
              <w:t>Domain 1: The Problem Stream</w:t>
            </w:r>
          </w:p>
        </w:tc>
      </w:tr>
      <w:tr w:rsidR="006F17CE" w:rsidRPr="00A54B0D" w14:paraId="2A0A4729" w14:textId="77777777" w:rsidTr="00577ED1">
        <w:trPr>
          <w:trHeight w:val="288"/>
        </w:trPr>
        <w:tc>
          <w:tcPr>
            <w:tcW w:w="0" w:type="auto"/>
            <w:gridSpan w:val="3"/>
            <w:hideMark/>
          </w:tcPr>
          <w:p w14:paraId="100BA6CA"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t>General Content Analysis</w:t>
            </w:r>
          </w:p>
        </w:tc>
      </w:tr>
      <w:tr w:rsidR="006F17CE" w:rsidRPr="00A54B0D" w14:paraId="193E09C9" w14:textId="77777777" w:rsidTr="00577ED1">
        <w:trPr>
          <w:trHeight w:val="864"/>
        </w:trPr>
        <w:tc>
          <w:tcPr>
            <w:tcW w:w="0" w:type="auto"/>
            <w:hideMark/>
          </w:tcPr>
          <w:p w14:paraId="6758B71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Does the post refer to a specific event or category of gun violence?</w:t>
            </w:r>
          </w:p>
        </w:tc>
        <w:tc>
          <w:tcPr>
            <w:tcW w:w="0" w:type="auto"/>
            <w:hideMark/>
          </w:tcPr>
          <w:p w14:paraId="5174432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7441BEB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to a specific firearm violence incident, compared to general discourse of firearms or firearm violence at large</w:t>
            </w:r>
          </w:p>
        </w:tc>
      </w:tr>
      <w:tr w:rsidR="006F17CE" w:rsidRPr="00A54B0D" w14:paraId="0B3BE4DF" w14:textId="77777777" w:rsidTr="00577ED1">
        <w:trPr>
          <w:trHeight w:val="2592"/>
        </w:trPr>
        <w:tc>
          <w:tcPr>
            <w:tcW w:w="0" w:type="auto"/>
            <w:hideMark/>
          </w:tcPr>
          <w:p w14:paraId="7C0A2A6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Category of Shooting</w:t>
            </w:r>
          </w:p>
        </w:tc>
        <w:tc>
          <w:tcPr>
            <w:tcW w:w="0" w:type="auto"/>
            <w:hideMark/>
          </w:tcPr>
          <w:p w14:paraId="2D089438" w14:textId="77777777" w:rsidR="006F17CE" w:rsidRPr="00A54B0D" w:rsidRDefault="006F17CE" w:rsidP="006F17CE">
            <w:pPr>
              <w:pStyle w:val="ListParagraph"/>
              <w:numPr>
                <w:ilvl w:val="0"/>
                <w:numId w:val="1"/>
              </w:numPr>
              <w:rPr>
                <w:rFonts w:ascii="Times New Roman" w:hAnsi="Times New Roman" w:cs="Times New Roman"/>
                <w:sz w:val="24"/>
                <w:szCs w:val="24"/>
              </w:rPr>
            </w:pPr>
            <w:r w:rsidRPr="00A54B0D">
              <w:rPr>
                <w:rFonts w:ascii="Times New Roman" w:hAnsi="Times New Roman" w:cs="Times New Roman"/>
                <w:sz w:val="24"/>
                <w:szCs w:val="24"/>
              </w:rPr>
              <w:t>Mass shooting</w:t>
            </w:r>
          </w:p>
          <w:p w14:paraId="3D2AFF30" w14:textId="77777777" w:rsidR="006F17CE" w:rsidRPr="00A54B0D" w:rsidRDefault="006F17CE" w:rsidP="006F17CE">
            <w:pPr>
              <w:pStyle w:val="ListParagraph"/>
              <w:numPr>
                <w:ilvl w:val="0"/>
                <w:numId w:val="1"/>
              </w:numPr>
              <w:rPr>
                <w:rFonts w:ascii="Times New Roman" w:hAnsi="Times New Roman" w:cs="Times New Roman"/>
                <w:sz w:val="24"/>
                <w:szCs w:val="24"/>
              </w:rPr>
            </w:pPr>
            <w:r w:rsidRPr="00A54B0D">
              <w:rPr>
                <w:rFonts w:ascii="Times New Roman" w:hAnsi="Times New Roman" w:cs="Times New Roman"/>
                <w:sz w:val="24"/>
                <w:szCs w:val="24"/>
              </w:rPr>
              <w:t>Suicide or Intentional Self-Inflicted Harm</w:t>
            </w:r>
          </w:p>
          <w:p w14:paraId="358C9BEC" w14:textId="77777777" w:rsidR="006F17CE" w:rsidRPr="00A54B0D" w:rsidRDefault="006F17CE" w:rsidP="006F17CE">
            <w:pPr>
              <w:pStyle w:val="ListParagraph"/>
              <w:numPr>
                <w:ilvl w:val="0"/>
                <w:numId w:val="1"/>
              </w:numPr>
              <w:rPr>
                <w:rFonts w:ascii="Times New Roman" w:hAnsi="Times New Roman" w:cs="Times New Roman"/>
                <w:sz w:val="24"/>
                <w:szCs w:val="24"/>
              </w:rPr>
            </w:pPr>
            <w:r w:rsidRPr="00A54B0D">
              <w:rPr>
                <w:rFonts w:ascii="Times New Roman" w:hAnsi="Times New Roman" w:cs="Times New Roman"/>
                <w:sz w:val="24"/>
                <w:szCs w:val="24"/>
              </w:rPr>
              <w:t>Unintentional or Accidental Injury</w:t>
            </w:r>
          </w:p>
          <w:p w14:paraId="6E466B26" w14:textId="77777777" w:rsidR="006F17CE" w:rsidRPr="00A54B0D" w:rsidRDefault="006F17CE" w:rsidP="006F17CE">
            <w:pPr>
              <w:pStyle w:val="ListParagraph"/>
              <w:numPr>
                <w:ilvl w:val="0"/>
                <w:numId w:val="1"/>
              </w:numPr>
              <w:rPr>
                <w:rFonts w:ascii="Times New Roman" w:hAnsi="Times New Roman" w:cs="Times New Roman"/>
                <w:sz w:val="24"/>
                <w:szCs w:val="24"/>
              </w:rPr>
            </w:pPr>
            <w:r w:rsidRPr="00A54B0D">
              <w:rPr>
                <w:rFonts w:ascii="Times New Roman" w:hAnsi="Times New Roman" w:cs="Times New Roman"/>
                <w:sz w:val="24"/>
                <w:szCs w:val="24"/>
              </w:rPr>
              <w:t>Interpersonal/Community Violence</w:t>
            </w:r>
          </w:p>
          <w:p w14:paraId="1E897669" w14:textId="77777777" w:rsidR="006F17CE" w:rsidRPr="00A54B0D" w:rsidRDefault="006F17CE" w:rsidP="006F17CE">
            <w:pPr>
              <w:pStyle w:val="ListParagraph"/>
              <w:numPr>
                <w:ilvl w:val="0"/>
                <w:numId w:val="1"/>
              </w:numPr>
              <w:rPr>
                <w:rFonts w:ascii="Times New Roman" w:hAnsi="Times New Roman" w:cs="Times New Roman"/>
                <w:sz w:val="24"/>
                <w:szCs w:val="24"/>
              </w:rPr>
            </w:pPr>
            <w:r w:rsidRPr="00A54B0D">
              <w:rPr>
                <w:rFonts w:ascii="Times New Roman" w:hAnsi="Times New Roman" w:cs="Times New Roman"/>
                <w:sz w:val="24"/>
                <w:szCs w:val="24"/>
              </w:rPr>
              <w:t>Other</w:t>
            </w:r>
          </w:p>
        </w:tc>
        <w:tc>
          <w:tcPr>
            <w:tcW w:w="0" w:type="auto"/>
            <w:hideMark/>
          </w:tcPr>
          <w:p w14:paraId="1A90595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General Variable Definition: The post mentions or references a specific category of gun violence. </w:t>
            </w:r>
          </w:p>
          <w:p w14:paraId="2EBF0A43" w14:textId="77777777" w:rsidR="006F17CE" w:rsidRPr="00A54B0D" w:rsidRDefault="006F17CE" w:rsidP="006F17CE">
            <w:pPr>
              <w:pStyle w:val="ListParagraph"/>
              <w:numPr>
                <w:ilvl w:val="0"/>
                <w:numId w:val="2"/>
              </w:numPr>
              <w:rPr>
                <w:rFonts w:ascii="Times New Roman" w:hAnsi="Times New Roman" w:cs="Times New Roman"/>
                <w:sz w:val="24"/>
                <w:szCs w:val="24"/>
              </w:rPr>
            </w:pPr>
            <w:r w:rsidRPr="00A54B0D">
              <w:rPr>
                <w:rFonts w:ascii="Times New Roman" w:hAnsi="Times New Roman" w:cs="Times New Roman"/>
                <w:sz w:val="24"/>
                <w:szCs w:val="24"/>
              </w:rPr>
              <w:t>Mass Shooting: Naming of a specific Mass Shooting event. Also Defined by the FBI as a Shooting event that kills four people not including the perpetrator</w:t>
            </w:r>
          </w:p>
          <w:p w14:paraId="71F968A8" w14:textId="77777777" w:rsidR="006F17CE" w:rsidRPr="00A54B0D" w:rsidRDefault="006F17CE" w:rsidP="006F17CE">
            <w:pPr>
              <w:pStyle w:val="ListParagraph"/>
              <w:numPr>
                <w:ilvl w:val="0"/>
                <w:numId w:val="2"/>
              </w:numPr>
              <w:rPr>
                <w:rFonts w:ascii="Times New Roman" w:hAnsi="Times New Roman" w:cs="Times New Roman"/>
                <w:sz w:val="24"/>
                <w:szCs w:val="24"/>
              </w:rPr>
            </w:pPr>
            <w:r w:rsidRPr="00A54B0D">
              <w:rPr>
                <w:rFonts w:ascii="Times New Roman" w:hAnsi="Times New Roman" w:cs="Times New Roman"/>
                <w:sz w:val="24"/>
                <w:szCs w:val="24"/>
              </w:rPr>
              <w:t>Suicide or intentional self-inflicted harm: that is not caused by accidental injury</w:t>
            </w:r>
          </w:p>
          <w:p w14:paraId="0830D757" w14:textId="77777777" w:rsidR="006F17CE" w:rsidRPr="00A54B0D" w:rsidRDefault="006F17CE" w:rsidP="006F17CE">
            <w:pPr>
              <w:pStyle w:val="ListParagraph"/>
              <w:numPr>
                <w:ilvl w:val="0"/>
                <w:numId w:val="2"/>
              </w:numPr>
              <w:rPr>
                <w:rFonts w:ascii="Times New Roman" w:hAnsi="Times New Roman" w:cs="Times New Roman"/>
                <w:sz w:val="24"/>
                <w:szCs w:val="24"/>
              </w:rPr>
            </w:pPr>
            <w:r w:rsidRPr="00A54B0D">
              <w:rPr>
                <w:rFonts w:ascii="Times New Roman" w:hAnsi="Times New Roman" w:cs="Times New Roman"/>
                <w:sz w:val="24"/>
                <w:szCs w:val="24"/>
              </w:rPr>
              <w:t>Unintentional or Accidental Injury: towards self or others</w:t>
            </w:r>
          </w:p>
          <w:p w14:paraId="54C1E412" w14:textId="77777777" w:rsidR="006F17CE" w:rsidRPr="00A54B0D" w:rsidRDefault="006F17CE" w:rsidP="006F17CE">
            <w:pPr>
              <w:pStyle w:val="ListParagraph"/>
              <w:numPr>
                <w:ilvl w:val="0"/>
                <w:numId w:val="2"/>
              </w:numPr>
              <w:rPr>
                <w:rFonts w:ascii="Times New Roman" w:hAnsi="Times New Roman" w:cs="Times New Roman"/>
                <w:sz w:val="24"/>
                <w:szCs w:val="24"/>
              </w:rPr>
            </w:pPr>
            <w:r w:rsidRPr="00A54B0D">
              <w:rPr>
                <w:rFonts w:ascii="Times New Roman" w:hAnsi="Times New Roman" w:cs="Times New Roman"/>
                <w:sz w:val="24"/>
                <w:szCs w:val="24"/>
              </w:rPr>
              <w:t>Interpersonal/Community: Refers to intentional firearm violence against another individual</w:t>
            </w:r>
          </w:p>
          <w:p w14:paraId="2D575A9C" w14:textId="77777777" w:rsidR="006F17CE" w:rsidRPr="00A54B0D" w:rsidRDefault="006F17CE" w:rsidP="006F17CE">
            <w:pPr>
              <w:pStyle w:val="ListParagraph"/>
              <w:numPr>
                <w:ilvl w:val="0"/>
                <w:numId w:val="2"/>
              </w:numPr>
              <w:rPr>
                <w:rFonts w:ascii="Times New Roman" w:hAnsi="Times New Roman" w:cs="Times New Roman"/>
                <w:sz w:val="24"/>
                <w:szCs w:val="24"/>
              </w:rPr>
            </w:pPr>
            <w:r w:rsidRPr="00A54B0D">
              <w:rPr>
                <w:rFonts w:ascii="Times New Roman" w:hAnsi="Times New Roman" w:cs="Times New Roman"/>
                <w:sz w:val="24"/>
                <w:szCs w:val="24"/>
              </w:rPr>
              <w:t>Other: None of the above</w:t>
            </w:r>
          </w:p>
        </w:tc>
      </w:tr>
      <w:tr w:rsidR="006F17CE" w:rsidRPr="00A54B0D" w14:paraId="477FFF87" w14:textId="77777777" w:rsidTr="00577ED1">
        <w:trPr>
          <w:trHeight w:val="3456"/>
        </w:trPr>
        <w:tc>
          <w:tcPr>
            <w:tcW w:w="0" w:type="auto"/>
            <w:hideMark/>
          </w:tcPr>
          <w:p w14:paraId="13C7FC7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Location of Violence</w:t>
            </w:r>
          </w:p>
        </w:tc>
        <w:tc>
          <w:tcPr>
            <w:tcW w:w="0" w:type="auto"/>
            <w:hideMark/>
          </w:tcPr>
          <w:p w14:paraId="7A2CC5E1" w14:textId="77777777" w:rsidR="006F17CE" w:rsidRPr="00A54B0D" w:rsidRDefault="006F17CE" w:rsidP="006F17CE">
            <w:pPr>
              <w:pStyle w:val="ListParagraph"/>
              <w:numPr>
                <w:ilvl w:val="0"/>
                <w:numId w:val="3"/>
              </w:numPr>
              <w:rPr>
                <w:rFonts w:ascii="Times New Roman" w:hAnsi="Times New Roman" w:cs="Times New Roman"/>
                <w:sz w:val="24"/>
                <w:szCs w:val="24"/>
              </w:rPr>
            </w:pPr>
            <w:r w:rsidRPr="00A54B0D">
              <w:rPr>
                <w:rFonts w:ascii="Times New Roman" w:hAnsi="Times New Roman" w:cs="Times New Roman"/>
                <w:sz w:val="24"/>
                <w:szCs w:val="24"/>
              </w:rPr>
              <w:t>School/School Grounds</w:t>
            </w:r>
          </w:p>
          <w:p w14:paraId="22B03D7B" w14:textId="77777777" w:rsidR="006F17CE" w:rsidRPr="00A54B0D" w:rsidRDefault="006F17CE" w:rsidP="006F17CE">
            <w:pPr>
              <w:pStyle w:val="ListParagraph"/>
              <w:numPr>
                <w:ilvl w:val="0"/>
                <w:numId w:val="3"/>
              </w:numPr>
              <w:rPr>
                <w:rFonts w:ascii="Times New Roman" w:hAnsi="Times New Roman" w:cs="Times New Roman"/>
                <w:sz w:val="24"/>
                <w:szCs w:val="24"/>
              </w:rPr>
            </w:pPr>
            <w:r w:rsidRPr="00A54B0D">
              <w:rPr>
                <w:rFonts w:ascii="Times New Roman" w:hAnsi="Times New Roman" w:cs="Times New Roman"/>
                <w:sz w:val="24"/>
                <w:szCs w:val="24"/>
              </w:rPr>
              <w:t>Home</w:t>
            </w:r>
          </w:p>
          <w:p w14:paraId="5E334B28" w14:textId="77777777" w:rsidR="006F17CE" w:rsidRPr="00A54B0D" w:rsidRDefault="006F17CE" w:rsidP="006F17CE">
            <w:pPr>
              <w:pStyle w:val="ListParagraph"/>
              <w:numPr>
                <w:ilvl w:val="0"/>
                <w:numId w:val="3"/>
              </w:numPr>
              <w:rPr>
                <w:rFonts w:ascii="Times New Roman" w:hAnsi="Times New Roman" w:cs="Times New Roman"/>
                <w:sz w:val="24"/>
                <w:szCs w:val="24"/>
              </w:rPr>
            </w:pPr>
            <w:r w:rsidRPr="00A54B0D">
              <w:rPr>
                <w:rFonts w:ascii="Times New Roman" w:hAnsi="Times New Roman" w:cs="Times New Roman"/>
                <w:sz w:val="24"/>
                <w:szCs w:val="24"/>
              </w:rPr>
              <w:t>Place of Worship</w:t>
            </w:r>
          </w:p>
          <w:p w14:paraId="70D73590" w14:textId="77777777" w:rsidR="006F17CE" w:rsidRPr="00A54B0D" w:rsidRDefault="006F17CE" w:rsidP="006F17CE">
            <w:pPr>
              <w:pStyle w:val="ListParagraph"/>
              <w:numPr>
                <w:ilvl w:val="0"/>
                <w:numId w:val="3"/>
              </w:numPr>
              <w:rPr>
                <w:rFonts w:ascii="Times New Roman" w:hAnsi="Times New Roman" w:cs="Times New Roman"/>
                <w:sz w:val="24"/>
                <w:szCs w:val="24"/>
              </w:rPr>
            </w:pPr>
            <w:r w:rsidRPr="00A54B0D">
              <w:rPr>
                <w:rFonts w:ascii="Times New Roman" w:hAnsi="Times New Roman" w:cs="Times New Roman"/>
                <w:sz w:val="24"/>
                <w:szCs w:val="24"/>
              </w:rPr>
              <w:t>Neighborhood/Community</w:t>
            </w:r>
          </w:p>
          <w:p w14:paraId="0B2ED512" w14:textId="77777777" w:rsidR="006F17CE" w:rsidRPr="00A54B0D" w:rsidRDefault="006F17CE" w:rsidP="006F17CE">
            <w:pPr>
              <w:pStyle w:val="ListParagraph"/>
              <w:numPr>
                <w:ilvl w:val="0"/>
                <w:numId w:val="3"/>
              </w:numPr>
              <w:rPr>
                <w:rFonts w:ascii="Times New Roman" w:hAnsi="Times New Roman" w:cs="Times New Roman"/>
                <w:sz w:val="24"/>
                <w:szCs w:val="24"/>
              </w:rPr>
            </w:pPr>
            <w:r w:rsidRPr="00A54B0D">
              <w:rPr>
                <w:rFonts w:ascii="Times New Roman" w:hAnsi="Times New Roman" w:cs="Times New Roman"/>
                <w:sz w:val="24"/>
                <w:szCs w:val="24"/>
              </w:rPr>
              <w:t>Place of Business</w:t>
            </w:r>
          </w:p>
          <w:p w14:paraId="1EB0BB7A" w14:textId="77777777" w:rsidR="006F17CE" w:rsidRPr="00A54B0D" w:rsidRDefault="006F17CE" w:rsidP="006F17CE">
            <w:pPr>
              <w:pStyle w:val="ListParagraph"/>
              <w:numPr>
                <w:ilvl w:val="0"/>
                <w:numId w:val="3"/>
              </w:numPr>
              <w:rPr>
                <w:rFonts w:ascii="Times New Roman" w:hAnsi="Times New Roman" w:cs="Times New Roman"/>
                <w:sz w:val="24"/>
                <w:szCs w:val="24"/>
              </w:rPr>
            </w:pPr>
            <w:r w:rsidRPr="00A54B0D">
              <w:rPr>
                <w:rFonts w:ascii="Times New Roman" w:hAnsi="Times New Roman" w:cs="Times New Roman"/>
                <w:sz w:val="24"/>
                <w:szCs w:val="24"/>
              </w:rPr>
              <w:t>City/County</w:t>
            </w:r>
          </w:p>
          <w:p w14:paraId="7D150A0A" w14:textId="77777777" w:rsidR="006F17CE" w:rsidRPr="00A54B0D" w:rsidRDefault="006F17CE" w:rsidP="006F17CE">
            <w:pPr>
              <w:pStyle w:val="ListParagraph"/>
              <w:numPr>
                <w:ilvl w:val="0"/>
                <w:numId w:val="3"/>
              </w:numPr>
              <w:rPr>
                <w:rFonts w:ascii="Times New Roman" w:hAnsi="Times New Roman" w:cs="Times New Roman"/>
                <w:sz w:val="24"/>
                <w:szCs w:val="24"/>
              </w:rPr>
            </w:pPr>
            <w:r w:rsidRPr="00A54B0D">
              <w:rPr>
                <w:rFonts w:ascii="Times New Roman" w:hAnsi="Times New Roman" w:cs="Times New Roman"/>
                <w:sz w:val="24"/>
                <w:szCs w:val="24"/>
              </w:rPr>
              <w:t>Other Location</w:t>
            </w:r>
          </w:p>
        </w:tc>
        <w:tc>
          <w:tcPr>
            <w:tcW w:w="0" w:type="auto"/>
            <w:hideMark/>
          </w:tcPr>
          <w:p w14:paraId="2B2F0FD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Location of shooting or general areas in which violence occurs if specified (ex. School shooting, school grounds, or near a school would all be considered a school shooting). Excluded “PA or Pennsylvania for an analysis.” Neighborhood/Community refers to a specific neighborhood/block/or geographic local within a city (</w:t>
            </w:r>
            <w:proofErr w:type="spellStart"/>
            <w:r w:rsidRPr="00A54B0D">
              <w:rPr>
                <w:rFonts w:ascii="Times New Roman" w:hAnsi="Times New Roman" w:cs="Times New Roman"/>
                <w:sz w:val="24"/>
                <w:szCs w:val="24"/>
              </w:rPr>
              <w:t>ex West</w:t>
            </w:r>
            <w:proofErr w:type="spellEnd"/>
            <w:r w:rsidRPr="00A54B0D">
              <w:rPr>
                <w:rFonts w:ascii="Times New Roman" w:hAnsi="Times New Roman" w:cs="Times New Roman"/>
                <w:sz w:val="24"/>
                <w:szCs w:val="24"/>
              </w:rPr>
              <w:t xml:space="preserve"> Philadelphia). City/County refers to the entire city or county(</w:t>
            </w:r>
            <w:proofErr w:type="spellStart"/>
            <w:r w:rsidRPr="00A54B0D">
              <w:rPr>
                <w:rFonts w:ascii="Times New Roman" w:hAnsi="Times New Roman" w:cs="Times New Roman"/>
                <w:sz w:val="24"/>
                <w:szCs w:val="24"/>
              </w:rPr>
              <w:t>ies</w:t>
            </w:r>
            <w:proofErr w:type="spellEnd"/>
            <w:r w:rsidRPr="00A54B0D">
              <w:rPr>
                <w:rFonts w:ascii="Times New Roman" w:hAnsi="Times New Roman" w:cs="Times New Roman"/>
                <w:sz w:val="24"/>
                <w:szCs w:val="24"/>
              </w:rPr>
              <w:t>) mentioned.</w:t>
            </w:r>
          </w:p>
        </w:tc>
      </w:tr>
      <w:tr w:rsidR="006F17CE" w:rsidRPr="00A54B0D" w14:paraId="78C4FE83" w14:textId="77777777" w:rsidTr="00577ED1">
        <w:trPr>
          <w:trHeight w:val="2880"/>
        </w:trPr>
        <w:tc>
          <w:tcPr>
            <w:tcW w:w="0" w:type="auto"/>
            <w:hideMark/>
          </w:tcPr>
          <w:p w14:paraId="147AB60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Relationship of Perpetrator to Victims</w:t>
            </w:r>
          </w:p>
        </w:tc>
        <w:tc>
          <w:tcPr>
            <w:tcW w:w="0" w:type="auto"/>
            <w:hideMark/>
          </w:tcPr>
          <w:p w14:paraId="42A54E02" w14:textId="77777777" w:rsidR="006F17CE" w:rsidRPr="00A54B0D" w:rsidRDefault="006F17CE" w:rsidP="006F17CE">
            <w:pPr>
              <w:pStyle w:val="ListParagraph"/>
              <w:numPr>
                <w:ilvl w:val="0"/>
                <w:numId w:val="4"/>
              </w:numPr>
              <w:rPr>
                <w:rFonts w:ascii="Times New Roman" w:hAnsi="Times New Roman" w:cs="Times New Roman"/>
                <w:sz w:val="24"/>
                <w:szCs w:val="24"/>
              </w:rPr>
            </w:pPr>
            <w:r w:rsidRPr="00A54B0D">
              <w:rPr>
                <w:rFonts w:ascii="Times New Roman" w:hAnsi="Times New Roman" w:cs="Times New Roman"/>
                <w:sz w:val="24"/>
                <w:szCs w:val="24"/>
              </w:rPr>
              <w:t>Intimate Partner</w:t>
            </w:r>
          </w:p>
          <w:p w14:paraId="5AAE700D" w14:textId="77777777" w:rsidR="006F17CE" w:rsidRPr="00A54B0D" w:rsidRDefault="006F17CE" w:rsidP="006F17CE">
            <w:pPr>
              <w:pStyle w:val="ListParagraph"/>
              <w:numPr>
                <w:ilvl w:val="0"/>
                <w:numId w:val="4"/>
              </w:numPr>
              <w:rPr>
                <w:rFonts w:ascii="Times New Roman" w:hAnsi="Times New Roman" w:cs="Times New Roman"/>
                <w:sz w:val="24"/>
                <w:szCs w:val="24"/>
              </w:rPr>
            </w:pPr>
            <w:r w:rsidRPr="00A54B0D">
              <w:rPr>
                <w:rFonts w:ascii="Times New Roman" w:hAnsi="Times New Roman" w:cs="Times New Roman"/>
                <w:sz w:val="24"/>
                <w:szCs w:val="24"/>
              </w:rPr>
              <w:t>Parent/Guardian</w:t>
            </w:r>
          </w:p>
          <w:p w14:paraId="710D8DF1" w14:textId="77777777" w:rsidR="006F17CE" w:rsidRPr="00A54B0D" w:rsidRDefault="006F17CE" w:rsidP="006F17CE">
            <w:pPr>
              <w:pStyle w:val="ListParagraph"/>
              <w:numPr>
                <w:ilvl w:val="0"/>
                <w:numId w:val="4"/>
              </w:numPr>
              <w:rPr>
                <w:rFonts w:ascii="Times New Roman" w:hAnsi="Times New Roman" w:cs="Times New Roman"/>
                <w:sz w:val="24"/>
                <w:szCs w:val="24"/>
              </w:rPr>
            </w:pPr>
            <w:r w:rsidRPr="00A54B0D">
              <w:rPr>
                <w:rFonts w:ascii="Times New Roman" w:hAnsi="Times New Roman" w:cs="Times New Roman"/>
                <w:sz w:val="24"/>
                <w:szCs w:val="24"/>
              </w:rPr>
              <w:t>Other Family Member</w:t>
            </w:r>
          </w:p>
          <w:p w14:paraId="300B53FB" w14:textId="77777777" w:rsidR="006F17CE" w:rsidRPr="00A54B0D" w:rsidRDefault="006F17CE" w:rsidP="006F17CE">
            <w:pPr>
              <w:pStyle w:val="ListParagraph"/>
              <w:numPr>
                <w:ilvl w:val="0"/>
                <w:numId w:val="4"/>
              </w:numPr>
              <w:rPr>
                <w:rFonts w:ascii="Times New Roman" w:hAnsi="Times New Roman" w:cs="Times New Roman"/>
                <w:sz w:val="24"/>
                <w:szCs w:val="24"/>
              </w:rPr>
            </w:pPr>
            <w:r w:rsidRPr="00A54B0D">
              <w:rPr>
                <w:rFonts w:ascii="Times New Roman" w:hAnsi="Times New Roman" w:cs="Times New Roman"/>
                <w:sz w:val="24"/>
                <w:szCs w:val="24"/>
              </w:rPr>
              <w:t>Law Enforcement</w:t>
            </w:r>
          </w:p>
          <w:p w14:paraId="3DA1A0B8" w14:textId="77777777" w:rsidR="006F17CE" w:rsidRPr="00A54B0D" w:rsidRDefault="006F17CE" w:rsidP="006F17CE">
            <w:pPr>
              <w:pStyle w:val="ListParagraph"/>
              <w:numPr>
                <w:ilvl w:val="0"/>
                <w:numId w:val="4"/>
              </w:numPr>
              <w:rPr>
                <w:rFonts w:ascii="Times New Roman" w:hAnsi="Times New Roman" w:cs="Times New Roman"/>
                <w:sz w:val="24"/>
                <w:szCs w:val="24"/>
              </w:rPr>
            </w:pPr>
            <w:r w:rsidRPr="00A54B0D">
              <w:rPr>
                <w:rFonts w:ascii="Times New Roman" w:hAnsi="Times New Roman" w:cs="Times New Roman"/>
                <w:sz w:val="24"/>
                <w:szCs w:val="24"/>
              </w:rPr>
              <w:t>Other Authority Figure</w:t>
            </w:r>
          </w:p>
          <w:p w14:paraId="7C9F9931" w14:textId="77777777" w:rsidR="006F17CE" w:rsidRPr="00A54B0D" w:rsidRDefault="006F17CE" w:rsidP="006F17CE">
            <w:pPr>
              <w:pStyle w:val="ListParagraph"/>
              <w:numPr>
                <w:ilvl w:val="0"/>
                <w:numId w:val="4"/>
              </w:numPr>
              <w:rPr>
                <w:rFonts w:ascii="Times New Roman" w:hAnsi="Times New Roman" w:cs="Times New Roman"/>
                <w:sz w:val="24"/>
                <w:szCs w:val="24"/>
              </w:rPr>
            </w:pPr>
            <w:r w:rsidRPr="00A54B0D">
              <w:rPr>
                <w:rFonts w:ascii="Times New Roman" w:hAnsi="Times New Roman" w:cs="Times New Roman"/>
                <w:sz w:val="24"/>
                <w:szCs w:val="24"/>
              </w:rPr>
              <w:t>Unknown to Victim</w:t>
            </w:r>
          </w:p>
          <w:p w14:paraId="11C4F1A7" w14:textId="77777777" w:rsidR="006F17CE" w:rsidRPr="00A54B0D" w:rsidRDefault="006F17CE" w:rsidP="006F17CE">
            <w:pPr>
              <w:pStyle w:val="ListParagraph"/>
              <w:numPr>
                <w:ilvl w:val="0"/>
                <w:numId w:val="4"/>
              </w:numPr>
              <w:rPr>
                <w:rFonts w:ascii="Times New Roman" w:hAnsi="Times New Roman" w:cs="Times New Roman"/>
                <w:sz w:val="24"/>
                <w:szCs w:val="24"/>
              </w:rPr>
            </w:pPr>
            <w:r w:rsidRPr="00A54B0D">
              <w:rPr>
                <w:rFonts w:ascii="Times New Roman" w:hAnsi="Times New Roman" w:cs="Times New Roman"/>
                <w:sz w:val="24"/>
                <w:szCs w:val="24"/>
              </w:rPr>
              <w:t>Other</w:t>
            </w:r>
          </w:p>
        </w:tc>
        <w:tc>
          <w:tcPr>
            <w:tcW w:w="0" w:type="auto"/>
            <w:hideMark/>
          </w:tcPr>
          <w:p w14:paraId="4B774917" w14:textId="77777777" w:rsidR="006F17CE" w:rsidRPr="00A54B0D" w:rsidRDefault="006F17CE" w:rsidP="006F17CE">
            <w:pPr>
              <w:pStyle w:val="ListParagraph"/>
              <w:numPr>
                <w:ilvl w:val="0"/>
                <w:numId w:val="5"/>
              </w:numPr>
              <w:rPr>
                <w:rFonts w:ascii="Times New Roman" w:hAnsi="Times New Roman" w:cs="Times New Roman"/>
                <w:sz w:val="24"/>
                <w:szCs w:val="24"/>
              </w:rPr>
            </w:pPr>
            <w:r w:rsidRPr="00A54B0D">
              <w:rPr>
                <w:rFonts w:ascii="Times New Roman" w:hAnsi="Times New Roman" w:cs="Times New Roman"/>
                <w:sz w:val="24"/>
                <w:szCs w:val="24"/>
              </w:rPr>
              <w:t>Specific references to violence towards a spouse, intimate partner, dating partner, or a person with whom someone shares a child.</w:t>
            </w:r>
          </w:p>
          <w:p w14:paraId="3A3BE4C0" w14:textId="77777777" w:rsidR="006F17CE" w:rsidRPr="00A54B0D" w:rsidRDefault="006F17CE" w:rsidP="006F17CE">
            <w:pPr>
              <w:pStyle w:val="ListParagraph"/>
              <w:numPr>
                <w:ilvl w:val="0"/>
                <w:numId w:val="5"/>
              </w:numPr>
              <w:rPr>
                <w:rFonts w:ascii="Times New Roman" w:hAnsi="Times New Roman" w:cs="Times New Roman"/>
                <w:sz w:val="24"/>
                <w:szCs w:val="24"/>
              </w:rPr>
            </w:pPr>
            <w:r w:rsidRPr="00A54B0D">
              <w:rPr>
                <w:rFonts w:ascii="Times New Roman" w:hAnsi="Times New Roman" w:cs="Times New Roman"/>
                <w:sz w:val="24"/>
                <w:szCs w:val="24"/>
              </w:rPr>
              <w:t>Violence directed towards a child enacted by parent/guardian.</w:t>
            </w:r>
          </w:p>
          <w:p w14:paraId="26C37B15" w14:textId="77777777" w:rsidR="006F17CE" w:rsidRPr="00A54B0D" w:rsidRDefault="006F17CE" w:rsidP="006F17CE">
            <w:pPr>
              <w:pStyle w:val="ListParagraph"/>
              <w:numPr>
                <w:ilvl w:val="0"/>
                <w:numId w:val="5"/>
              </w:numPr>
              <w:rPr>
                <w:rFonts w:ascii="Times New Roman" w:hAnsi="Times New Roman" w:cs="Times New Roman"/>
                <w:sz w:val="24"/>
                <w:szCs w:val="24"/>
              </w:rPr>
            </w:pPr>
            <w:r w:rsidRPr="00A54B0D">
              <w:rPr>
                <w:rFonts w:ascii="Times New Roman" w:hAnsi="Times New Roman" w:cs="Times New Roman"/>
                <w:sz w:val="24"/>
                <w:szCs w:val="24"/>
              </w:rPr>
              <w:t xml:space="preserve">Other family </w:t>
            </w:r>
            <w:proofErr w:type="gramStart"/>
            <w:r w:rsidRPr="00A54B0D">
              <w:rPr>
                <w:rFonts w:ascii="Times New Roman" w:hAnsi="Times New Roman" w:cs="Times New Roman"/>
                <w:sz w:val="24"/>
                <w:szCs w:val="24"/>
              </w:rPr>
              <w:t>member</w:t>
            </w:r>
            <w:proofErr w:type="gramEnd"/>
            <w:r w:rsidRPr="00A54B0D">
              <w:rPr>
                <w:rFonts w:ascii="Times New Roman" w:hAnsi="Times New Roman" w:cs="Times New Roman"/>
                <w:sz w:val="24"/>
                <w:szCs w:val="24"/>
              </w:rPr>
              <w:t xml:space="preserve"> means cousin, uncle, aunt, sibling.</w:t>
            </w:r>
          </w:p>
          <w:p w14:paraId="3455AC99" w14:textId="77777777" w:rsidR="006F17CE" w:rsidRPr="00A54B0D" w:rsidRDefault="006F17CE" w:rsidP="006F17CE">
            <w:pPr>
              <w:pStyle w:val="ListParagraph"/>
              <w:numPr>
                <w:ilvl w:val="0"/>
                <w:numId w:val="5"/>
              </w:numPr>
              <w:rPr>
                <w:rFonts w:ascii="Times New Roman" w:hAnsi="Times New Roman" w:cs="Times New Roman"/>
                <w:sz w:val="24"/>
                <w:szCs w:val="24"/>
              </w:rPr>
            </w:pPr>
            <w:r w:rsidRPr="00A54B0D">
              <w:rPr>
                <w:rFonts w:ascii="Times New Roman" w:hAnsi="Times New Roman" w:cs="Times New Roman"/>
                <w:sz w:val="24"/>
                <w:szCs w:val="24"/>
              </w:rPr>
              <w:t>Law enforcement as perpetrator of violence</w:t>
            </w:r>
          </w:p>
          <w:p w14:paraId="55CB267F" w14:textId="77777777" w:rsidR="006F17CE" w:rsidRPr="00A54B0D" w:rsidRDefault="006F17CE" w:rsidP="006F17CE">
            <w:pPr>
              <w:pStyle w:val="ListParagraph"/>
              <w:numPr>
                <w:ilvl w:val="0"/>
                <w:numId w:val="5"/>
              </w:numPr>
              <w:rPr>
                <w:rFonts w:ascii="Times New Roman" w:hAnsi="Times New Roman" w:cs="Times New Roman"/>
                <w:sz w:val="24"/>
                <w:szCs w:val="24"/>
              </w:rPr>
            </w:pPr>
            <w:r w:rsidRPr="00A54B0D">
              <w:rPr>
                <w:rFonts w:ascii="Times New Roman" w:hAnsi="Times New Roman" w:cs="Times New Roman"/>
                <w:sz w:val="24"/>
                <w:szCs w:val="24"/>
              </w:rPr>
              <w:t xml:space="preserve">Other authority </w:t>
            </w:r>
            <w:proofErr w:type="gramStart"/>
            <w:r w:rsidRPr="00A54B0D">
              <w:rPr>
                <w:rFonts w:ascii="Times New Roman" w:hAnsi="Times New Roman" w:cs="Times New Roman"/>
                <w:sz w:val="24"/>
                <w:szCs w:val="24"/>
              </w:rPr>
              <w:t>figure</w:t>
            </w:r>
            <w:proofErr w:type="gramEnd"/>
            <w:r w:rsidRPr="00A54B0D">
              <w:rPr>
                <w:rFonts w:ascii="Times New Roman" w:hAnsi="Times New Roman" w:cs="Times New Roman"/>
                <w:sz w:val="24"/>
                <w:szCs w:val="24"/>
              </w:rPr>
              <w:t xml:space="preserve"> can include </w:t>
            </w:r>
            <w:proofErr w:type="gramStart"/>
            <w:r w:rsidRPr="00A54B0D">
              <w:rPr>
                <w:rFonts w:ascii="Times New Roman" w:hAnsi="Times New Roman" w:cs="Times New Roman"/>
                <w:sz w:val="24"/>
                <w:szCs w:val="24"/>
              </w:rPr>
              <w:t>teacher,</w:t>
            </w:r>
            <w:proofErr w:type="gramEnd"/>
            <w:r w:rsidRPr="00A54B0D">
              <w:rPr>
                <w:rFonts w:ascii="Times New Roman" w:hAnsi="Times New Roman" w:cs="Times New Roman"/>
                <w:sz w:val="24"/>
                <w:szCs w:val="24"/>
              </w:rPr>
              <w:t xml:space="preserve"> school personnel</w:t>
            </w:r>
          </w:p>
          <w:p w14:paraId="6D90C9D3" w14:textId="77777777" w:rsidR="006F17CE" w:rsidRPr="00A54B0D" w:rsidRDefault="006F17CE" w:rsidP="006F17CE">
            <w:pPr>
              <w:pStyle w:val="ListParagraph"/>
              <w:numPr>
                <w:ilvl w:val="0"/>
                <w:numId w:val="5"/>
              </w:numPr>
              <w:rPr>
                <w:rFonts w:ascii="Times New Roman" w:hAnsi="Times New Roman" w:cs="Times New Roman"/>
                <w:sz w:val="24"/>
                <w:szCs w:val="24"/>
              </w:rPr>
            </w:pPr>
            <w:r w:rsidRPr="00A54B0D">
              <w:rPr>
                <w:rFonts w:ascii="Times New Roman" w:hAnsi="Times New Roman" w:cs="Times New Roman"/>
                <w:sz w:val="24"/>
                <w:szCs w:val="24"/>
              </w:rPr>
              <w:t>X posts mentions that perpetrator Unknown to Victim</w:t>
            </w:r>
          </w:p>
          <w:p w14:paraId="669B8EDF" w14:textId="77777777" w:rsidR="006F17CE" w:rsidRPr="00A54B0D" w:rsidRDefault="006F17CE" w:rsidP="006F17CE">
            <w:pPr>
              <w:pStyle w:val="ListParagraph"/>
              <w:numPr>
                <w:ilvl w:val="0"/>
                <w:numId w:val="5"/>
              </w:numPr>
              <w:rPr>
                <w:rFonts w:ascii="Times New Roman" w:hAnsi="Times New Roman" w:cs="Times New Roman"/>
                <w:sz w:val="24"/>
                <w:szCs w:val="24"/>
              </w:rPr>
            </w:pPr>
            <w:r w:rsidRPr="00A54B0D">
              <w:rPr>
                <w:rFonts w:ascii="Times New Roman" w:hAnsi="Times New Roman" w:cs="Times New Roman"/>
                <w:sz w:val="24"/>
                <w:szCs w:val="24"/>
              </w:rPr>
              <w:t>Other relationship</w:t>
            </w:r>
          </w:p>
        </w:tc>
      </w:tr>
      <w:tr w:rsidR="006F17CE" w:rsidRPr="00A54B0D" w14:paraId="7A917492" w14:textId="77777777" w:rsidTr="00577ED1">
        <w:trPr>
          <w:trHeight w:val="2880"/>
        </w:trPr>
        <w:tc>
          <w:tcPr>
            <w:tcW w:w="0" w:type="auto"/>
          </w:tcPr>
          <w:p w14:paraId="3864F14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Mentions of Victim or Shooter</w:t>
            </w:r>
          </w:p>
        </w:tc>
        <w:tc>
          <w:tcPr>
            <w:tcW w:w="0" w:type="auto"/>
          </w:tcPr>
          <w:p w14:paraId="138A3825" w14:textId="77777777" w:rsidR="006F17CE" w:rsidRPr="00A54B0D" w:rsidRDefault="006F17CE" w:rsidP="006F17CE">
            <w:pPr>
              <w:pStyle w:val="ListParagraph"/>
              <w:numPr>
                <w:ilvl w:val="0"/>
                <w:numId w:val="6"/>
              </w:numPr>
              <w:rPr>
                <w:rFonts w:ascii="Times New Roman" w:hAnsi="Times New Roman" w:cs="Times New Roman"/>
                <w:sz w:val="24"/>
                <w:szCs w:val="24"/>
              </w:rPr>
            </w:pPr>
            <w:r w:rsidRPr="00A54B0D">
              <w:rPr>
                <w:rFonts w:ascii="Times New Roman" w:hAnsi="Times New Roman" w:cs="Times New Roman"/>
                <w:sz w:val="24"/>
                <w:szCs w:val="24"/>
              </w:rPr>
              <w:t>Victim only</w:t>
            </w:r>
          </w:p>
          <w:p w14:paraId="3898B21E" w14:textId="77777777" w:rsidR="006F17CE" w:rsidRPr="00A54B0D" w:rsidRDefault="006F17CE" w:rsidP="006F17CE">
            <w:pPr>
              <w:pStyle w:val="ListParagraph"/>
              <w:numPr>
                <w:ilvl w:val="0"/>
                <w:numId w:val="6"/>
              </w:numPr>
              <w:rPr>
                <w:rFonts w:ascii="Times New Roman" w:hAnsi="Times New Roman" w:cs="Times New Roman"/>
                <w:sz w:val="24"/>
                <w:szCs w:val="24"/>
              </w:rPr>
            </w:pPr>
            <w:r w:rsidRPr="00A54B0D">
              <w:rPr>
                <w:rFonts w:ascii="Times New Roman" w:hAnsi="Times New Roman" w:cs="Times New Roman"/>
                <w:sz w:val="24"/>
                <w:szCs w:val="24"/>
              </w:rPr>
              <w:t>Shooter only</w:t>
            </w:r>
          </w:p>
          <w:p w14:paraId="54F5F819" w14:textId="77777777" w:rsidR="006F17CE" w:rsidRPr="00A54B0D" w:rsidRDefault="006F17CE" w:rsidP="006F17CE">
            <w:pPr>
              <w:pStyle w:val="ListParagraph"/>
              <w:numPr>
                <w:ilvl w:val="0"/>
                <w:numId w:val="6"/>
              </w:numPr>
              <w:rPr>
                <w:rFonts w:ascii="Times New Roman" w:hAnsi="Times New Roman" w:cs="Times New Roman"/>
                <w:sz w:val="24"/>
                <w:szCs w:val="24"/>
              </w:rPr>
            </w:pPr>
            <w:r w:rsidRPr="00A54B0D">
              <w:rPr>
                <w:rFonts w:ascii="Times New Roman" w:hAnsi="Times New Roman" w:cs="Times New Roman"/>
                <w:sz w:val="24"/>
                <w:szCs w:val="24"/>
              </w:rPr>
              <w:t>Victim and shooter</w:t>
            </w:r>
          </w:p>
          <w:p w14:paraId="7B3BB0B1" w14:textId="77777777" w:rsidR="006F17CE" w:rsidRPr="00A54B0D" w:rsidRDefault="006F17CE" w:rsidP="006F17CE">
            <w:pPr>
              <w:pStyle w:val="ListParagraph"/>
              <w:numPr>
                <w:ilvl w:val="0"/>
                <w:numId w:val="6"/>
              </w:numPr>
              <w:rPr>
                <w:rFonts w:ascii="Times New Roman" w:hAnsi="Times New Roman" w:cs="Times New Roman"/>
                <w:sz w:val="24"/>
                <w:szCs w:val="24"/>
              </w:rPr>
            </w:pPr>
            <w:r w:rsidRPr="00A54B0D">
              <w:rPr>
                <w:rFonts w:ascii="Times New Roman" w:hAnsi="Times New Roman" w:cs="Times New Roman"/>
                <w:sz w:val="24"/>
                <w:szCs w:val="24"/>
              </w:rPr>
              <w:t>No specific mention</w:t>
            </w:r>
          </w:p>
        </w:tc>
        <w:tc>
          <w:tcPr>
            <w:tcW w:w="0" w:type="auto"/>
          </w:tcPr>
          <w:p w14:paraId="3BF67FC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If victim is also the shooter (ex. in the case of self-directed injury), select “victim only” and ensure that the category of violence is specified in the variable options above.</w:t>
            </w:r>
          </w:p>
        </w:tc>
      </w:tr>
      <w:tr w:rsidR="006F17CE" w:rsidRPr="00A54B0D" w14:paraId="4E22974D" w14:textId="77777777" w:rsidTr="00577ED1">
        <w:trPr>
          <w:trHeight w:val="288"/>
        </w:trPr>
        <w:tc>
          <w:tcPr>
            <w:tcW w:w="0" w:type="auto"/>
            <w:gridSpan w:val="3"/>
            <w:hideMark/>
          </w:tcPr>
          <w:p w14:paraId="3931FF79"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lastRenderedPageBreak/>
              <w:t>Expressions of Symbolic Reponses</w:t>
            </w:r>
          </w:p>
        </w:tc>
      </w:tr>
      <w:tr w:rsidR="006F17CE" w:rsidRPr="00A54B0D" w14:paraId="39371EBF" w14:textId="77777777" w:rsidTr="00577ED1">
        <w:trPr>
          <w:trHeight w:val="2016"/>
        </w:trPr>
        <w:tc>
          <w:tcPr>
            <w:tcW w:w="0" w:type="auto"/>
            <w:hideMark/>
          </w:tcPr>
          <w:p w14:paraId="201356B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Expressions</w:t>
            </w:r>
          </w:p>
        </w:tc>
        <w:tc>
          <w:tcPr>
            <w:tcW w:w="0" w:type="auto"/>
            <w:hideMark/>
          </w:tcPr>
          <w:p w14:paraId="20F279FB" w14:textId="77777777" w:rsidR="006F17CE" w:rsidRPr="00A54B0D" w:rsidRDefault="006F17CE" w:rsidP="006F17CE">
            <w:pPr>
              <w:pStyle w:val="ListParagraph"/>
              <w:numPr>
                <w:ilvl w:val="0"/>
                <w:numId w:val="7"/>
              </w:numPr>
              <w:rPr>
                <w:rFonts w:ascii="Times New Roman" w:hAnsi="Times New Roman" w:cs="Times New Roman"/>
                <w:sz w:val="24"/>
                <w:szCs w:val="24"/>
              </w:rPr>
            </w:pPr>
            <w:r w:rsidRPr="00A54B0D">
              <w:rPr>
                <w:rFonts w:ascii="Times New Roman" w:hAnsi="Times New Roman" w:cs="Times New Roman"/>
                <w:sz w:val="24"/>
                <w:szCs w:val="24"/>
              </w:rPr>
              <w:t>"Thoughts and Prayers"</w:t>
            </w:r>
          </w:p>
          <w:p w14:paraId="113E6150" w14:textId="77777777" w:rsidR="006F17CE" w:rsidRPr="00A54B0D" w:rsidRDefault="006F17CE" w:rsidP="006F17CE">
            <w:pPr>
              <w:pStyle w:val="ListParagraph"/>
              <w:numPr>
                <w:ilvl w:val="0"/>
                <w:numId w:val="7"/>
              </w:numPr>
              <w:rPr>
                <w:rFonts w:ascii="Times New Roman" w:hAnsi="Times New Roman" w:cs="Times New Roman"/>
                <w:sz w:val="24"/>
                <w:szCs w:val="24"/>
              </w:rPr>
            </w:pPr>
            <w:r w:rsidRPr="00A54B0D">
              <w:rPr>
                <w:rFonts w:ascii="Times New Roman" w:hAnsi="Times New Roman" w:cs="Times New Roman"/>
                <w:sz w:val="24"/>
                <w:szCs w:val="24"/>
              </w:rPr>
              <w:t>Solidarity</w:t>
            </w:r>
          </w:p>
          <w:p w14:paraId="2127E659" w14:textId="77777777" w:rsidR="006F17CE" w:rsidRPr="00A54B0D" w:rsidRDefault="006F17CE" w:rsidP="006F17CE">
            <w:pPr>
              <w:pStyle w:val="ListParagraph"/>
              <w:numPr>
                <w:ilvl w:val="0"/>
                <w:numId w:val="7"/>
              </w:numPr>
              <w:rPr>
                <w:rFonts w:ascii="Times New Roman" w:hAnsi="Times New Roman" w:cs="Times New Roman"/>
                <w:sz w:val="24"/>
                <w:szCs w:val="24"/>
              </w:rPr>
            </w:pPr>
            <w:r w:rsidRPr="00A54B0D">
              <w:rPr>
                <w:rFonts w:ascii="Times New Roman" w:hAnsi="Times New Roman" w:cs="Times New Roman"/>
                <w:sz w:val="24"/>
                <w:szCs w:val="24"/>
              </w:rPr>
              <w:t>Remembrance</w:t>
            </w:r>
          </w:p>
          <w:p w14:paraId="12BCA539" w14:textId="77777777" w:rsidR="006F17CE" w:rsidRPr="00A54B0D" w:rsidRDefault="006F17CE" w:rsidP="006F17CE">
            <w:pPr>
              <w:pStyle w:val="ListParagraph"/>
              <w:numPr>
                <w:ilvl w:val="0"/>
                <w:numId w:val="7"/>
              </w:numPr>
              <w:rPr>
                <w:rFonts w:ascii="Times New Roman" w:hAnsi="Times New Roman" w:cs="Times New Roman"/>
                <w:sz w:val="24"/>
                <w:szCs w:val="24"/>
              </w:rPr>
            </w:pPr>
            <w:r w:rsidRPr="00A54B0D">
              <w:rPr>
                <w:rFonts w:ascii="Times New Roman" w:hAnsi="Times New Roman" w:cs="Times New Roman"/>
                <w:sz w:val="24"/>
                <w:szCs w:val="24"/>
              </w:rPr>
              <w:t>None of the above</w:t>
            </w:r>
          </w:p>
        </w:tc>
        <w:tc>
          <w:tcPr>
            <w:tcW w:w="0" w:type="auto"/>
            <w:hideMark/>
          </w:tcPr>
          <w:p w14:paraId="6A1B3AB8" w14:textId="77777777" w:rsidR="006F17CE" w:rsidRPr="00A54B0D" w:rsidRDefault="006F17CE" w:rsidP="006F17CE">
            <w:pPr>
              <w:pStyle w:val="ListParagraph"/>
              <w:numPr>
                <w:ilvl w:val="0"/>
                <w:numId w:val="8"/>
              </w:numPr>
              <w:rPr>
                <w:rFonts w:ascii="Times New Roman" w:hAnsi="Times New Roman" w:cs="Times New Roman"/>
                <w:sz w:val="24"/>
                <w:szCs w:val="24"/>
              </w:rPr>
            </w:pPr>
            <w:r w:rsidRPr="00A54B0D">
              <w:rPr>
                <w:rFonts w:ascii="Times New Roman" w:hAnsi="Times New Roman" w:cs="Times New Roman"/>
                <w:sz w:val="24"/>
                <w:szCs w:val="24"/>
              </w:rPr>
              <w:t xml:space="preserve">Refers to specific mention of "thoughts" and/or "prayers" or similar emotional sentiments directed towards the victims or family </w:t>
            </w:r>
            <w:proofErr w:type="gramStart"/>
            <w:r w:rsidRPr="00A54B0D">
              <w:rPr>
                <w:rFonts w:ascii="Times New Roman" w:hAnsi="Times New Roman" w:cs="Times New Roman"/>
                <w:sz w:val="24"/>
                <w:szCs w:val="24"/>
              </w:rPr>
              <w:t>member</w:t>
            </w:r>
            <w:proofErr w:type="gramEnd"/>
            <w:r w:rsidRPr="00A54B0D">
              <w:rPr>
                <w:rFonts w:ascii="Times New Roman" w:hAnsi="Times New Roman" w:cs="Times New Roman"/>
                <w:sz w:val="24"/>
                <w:szCs w:val="24"/>
              </w:rPr>
              <w:t>.</w:t>
            </w:r>
          </w:p>
          <w:p w14:paraId="31A89BD5" w14:textId="77777777" w:rsidR="006F17CE" w:rsidRPr="00A54B0D" w:rsidRDefault="006F17CE" w:rsidP="006F17CE">
            <w:pPr>
              <w:pStyle w:val="ListParagraph"/>
              <w:numPr>
                <w:ilvl w:val="0"/>
                <w:numId w:val="8"/>
              </w:numPr>
              <w:rPr>
                <w:rFonts w:ascii="Times New Roman" w:hAnsi="Times New Roman" w:cs="Times New Roman"/>
                <w:sz w:val="24"/>
                <w:szCs w:val="24"/>
              </w:rPr>
            </w:pPr>
            <w:r w:rsidRPr="00A54B0D">
              <w:rPr>
                <w:rFonts w:ascii="Times New Roman" w:hAnsi="Times New Roman" w:cs="Times New Roman"/>
                <w:sz w:val="24"/>
                <w:szCs w:val="24"/>
              </w:rPr>
              <w:t>Referring to solidarity with a victim, family or community impacted by gun violence.</w:t>
            </w:r>
          </w:p>
          <w:p w14:paraId="2C6EFEF1" w14:textId="77777777" w:rsidR="006F17CE" w:rsidRPr="00A54B0D" w:rsidRDefault="006F17CE" w:rsidP="006F17CE">
            <w:pPr>
              <w:pStyle w:val="ListParagraph"/>
              <w:numPr>
                <w:ilvl w:val="0"/>
                <w:numId w:val="8"/>
              </w:numPr>
              <w:rPr>
                <w:rFonts w:ascii="Times New Roman" w:hAnsi="Times New Roman" w:cs="Times New Roman"/>
                <w:sz w:val="24"/>
                <w:szCs w:val="24"/>
              </w:rPr>
            </w:pPr>
            <w:r w:rsidRPr="00A54B0D">
              <w:rPr>
                <w:rFonts w:ascii="Times New Roman" w:hAnsi="Times New Roman" w:cs="Times New Roman"/>
                <w:sz w:val="24"/>
                <w:szCs w:val="24"/>
              </w:rPr>
              <w:t xml:space="preserve">Refers to in </w:t>
            </w:r>
            <w:proofErr w:type="spellStart"/>
            <w:r w:rsidRPr="00A54B0D">
              <w:rPr>
                <w:rFonts w:ascii="Times New Roman" w:hAnsi="Times New Roman" w:cs="Times New Roman"/>
                <w:sz w:val="24"/>
                <w:szCs w:val="24"/>
              </w:rPr>
              <w:t>memorium</w:t>
            </w:r>
            <w:proofErr w:type="spellEnd"/>
            <w:r w:rsidRPr="00A54B0D">
              <w:rPr>
                <w:rFonts w:ascii="Times New Roman" w:hAnsi="Times New Roman" w:cs="Times New Roman"/>
                <w:sz w:val="24"/>
                <w:szCs w:val="24"/>
              </w:rPr>
              <w:t xml:space="preserve"> events such as during anniversaries of mass shooting </w:t>
            </w:r>
          </w:p>
        </w:tc>
      </w:tr>
      <w:tr w:rsidR="006F17CE" w:rsidRPr="00A54B0D" w14:paraId="37A8936C" w14:textId="77777777" w:rsidTr="00577ED1">
        <w:trPr>
          <w:trHeight w:val="288"/>
        </w:trPr>
        <w:tc>
          <w:tcPr>
            <w:tcW w:w="0" w:type="auto"/>
            <w:hideMark/>
          </w:tcPr>
          <w:p w14:paraId="12A34BE6"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t>Call to Action</w:t>
            </w:r>
          </w:p>
        </w:tc>
        <w:tc>
          <w:tcPr>
            <w:tcW w:w="0" w:type="auto"/>
            <w:hideMark/>
          </w:tcPr>
          <w:p w14:paraId="1DA3671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w:t>
            </w:r>
          </w:p>
        </w:tc>
        <w:tc>
          <w:tcPr>
            <w:tcW w:w="0" w:type="auto"/>
            <w:hideMark/>
          </w:tcPr>
          <w:p w14:paraId="20B76BA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w:t>
            </w:r>
          </w:p>
        </w:tc>
      </w:tr>
      <w:tr w:rsidR="006F17CE" w:rsidRPr="00A54B0D" w14:paraId="0CED9D02" w14:textId="77777777" w:rsidTr="00577ED1">
        <w:trPr>
          <w:trHeight w:val="576"/>
        </w:trPr>
        <w:tc>
          <w:tcPr>
            <w:tcW w:w="0" w:type="auto"/>
            <w:hideMark/>
          </w:tcPr>
          <w:p w14:paraId="592C55D9"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General Call to Action</w:t>
            </w:r>
          </w:p>
        </w:tc>
        <w:tc>
          <w:tcPr>
            <w:tcW w:w="0" w:type="auto"/>
            <w:hideMark/>
          </w:tcPr>
          <w:p w14:paraId="14E647D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615ECD0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A general call to action is an appeal to the reader to act without any specific instructions or actionable steps. For example, “it is time to act” or “we must put an end to gun violence.” The action in the latter post is “putting an end to gun violence.” </w:t>
            </w:r>
            <w:proofErr w:type="gramStart"/>
            <w:r w:rsidRPr="00A54B0D">
              <w:rPr>
                <w:rFonts w:ascii="Times New Roman" w:hAnsi="Times New Roman" w:cs="Times New Roman"/>
                <w:sz w:val="24"/>
                <w:szCs w:val="24"/>
              </w:rPr>
              <w:t>Both of these</w:t>
            </w:r>
            <w:proofErr w:type="gramEnd"/>
            <w:r w:rsidRPr="00A54B0D">
              <w:rPr>
                <w:rFonts w:ascii="Times New Roman" w:hAnsi="Times New Roman" w:cs="Times New Roman"/>
                <w:sz w:val="24"/>
                <w:szCs w:val="24"/>
              </w:rPr>
              <w:t xml:space="preserve"> examples are calls to support a general movement, however neither provide specific steps for the reader to achieve this.</w:t>
            </w:r>
          </w:p>
        </w:tc>
      </w:tr>
      <w:tr w:rsidR="006F17CE" w:rsidRPr="00A54B0D" w14:paraId="563CD0E1" w14:textId="77777777" w:rsidTr="00577ED1">
        <w:trPr>
          <w:trHeight w:val="576"/>
        </w:trPr>
        <w:tc>
          <w:tcPr>
            <w:tcW w:w="0" w:type="auto"/>
            <w:hideMark/>
          </w:tcPr>
          <w:p w14:paraId="12AD001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Specific Call to Action</w:t>
            </w:r>
          </w:p>
        </w:tc>
        <w:tc>
          <w:tcPr>
            <w:tcW w:w="0" w:type="auto"/>
            <w:hideMark/>
          </w:tcPr>
          <w:p w14:paraId="11E8315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13B9B40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A specific “call to action” in media coverage is defined as any information that the public or policymakers can utilize to facilitate individual or collective action. It should answer the question “You the reader can act by doing/performing/supporting a certain action...” Examples of specific calls to action include passing legislation or voting. </w:t>
            </w:r>
          </w:p>
        </w:tc>
      </w:tr>
      <w:tr w:rsidR="006F17CE" w:rsidRPr="00A54B0D" w14:paraId="7080920D" w14:textId="77777777" w:rsidTr="00577ED1">
        <w:trPr>
          <w:trHeight w:val="576"/>
        </w:trPr>
        <w:tc>
          <w:tcPr>
            <w:tcW w:w="0" w:type="auto"/>
          </w:tcPr>
          <w:p w14:paraId="76261B2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Is the Specific Call to Action to Vote?</w:t>
            </w:r>
          </w:p>
        </w:tc>
        <w:tc>
          <w:tcPr>
            <w:tcW w:w="0" w:type="auto"/>
          </w:tcPr>
          <w:p w14:paraId="2EEBC79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26539B7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Does the post ask people to vote? This could be voting for elected officials OR voting for a </w:t>
            </w:r>
            <w:r w:rsidRPr="00A54B0D">
              <w:rPr>
                <w:rFonts w:ascii="Times New Roman" w:hAnsi="Times New Roman" w:cs="Times New Roman"/>
                <w:sz w:val="24"/>
                <w:szCs w:val="24"/>
              </w:rPr>
              <w:lastRenderedPageBreak/>
              <w:t>specific piece of legislation, ballot measure, or amendment.</w:t>
            </w:r>
          </w:p>
        </w:tc>
      </w:tr>
      <w:tr w:rsidR="006F17CE" w:rsidRPr="00A54B0D" w14:paraId="538F4124" w14:textId="77777777" w:rsidTr="00577ED1">
        <w:trPr>
          <w:trHeight w:val="996"/>
        </w:trPr>
        <w:tc>
          <w:tcPr>
            <w:tcW w:w="0" w:type="auto"/>
            <w:gridSpan w:val="3"/>
            <w:hideMark/>
          </w:tcPr>
          <w:p w14:paraId="0F6FEAC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b/>
                <w:bCs/>
                <w:sz w:val="24"/>
                <w:szCs w:val="24"/>
              </w:rPr>
              <w:lastRenderedPageBreak/>
              <w:t>Issue Framing:</w:t>
            </w:r>
            <w:r w:rsidRPr="00A54B0D">
              <w:rPr>
                <w:rFonts w:ascii="Times New Roman" w:hAnsi="Times New Roman" w:cs="Times New Roman"/>
                <w:sz w:val="24"/>
                <w:szCs w:val="24"/>
              </w:rPr>
              <w:t xml:space="preserve"> Framing refers to the underlying structures of belief, perception, and meaning that shape how policy issues are understood. It influences how a problem is constructed, which in turn affects who becomes involved, what solutions are considered, and when opportunities for policy change may arise. Frames signal why an issue matters—shaping public perception and guiding attention toward </w:t>
            </w:r>
            <w:proofErr w:type="gramStart"/>
            <w:r w:rsidRPr="00A54B0D">
              <w:rPr>
                <w:rFonts w:ascii="Times New Roman" w:hAnsi="Times New Roman" w:cs="Times New Roman"/>
                <w:sz w:val="24"/>
                <w:szCs w:val="24"/>
              </w:rPr>
              <w:t>particular values</w:t>
            </w:r>
            <w:proofErr w:type="gramEnd"/>
            <w:r w:rsidRPr="00A54B0D">
              <w:rPr>
                <w:rFonts w:ascii="Times New Roman" w:hAnsi="Times New Roman" w:cs="Times New Roman"/>
                <w:sz w:val="24"/>
                <w:szCs w:val="24"/>
              </w:rPr>
              <w:t xml:space="preserve"> or concerns. They are conveyed through the tactics, language, and messaging strategies used to persuade or engage an audience. For </w:t>
            </w:r>
            <w:proofErr w:type="gramStart"/>
            <w:r w:rsidRPr="00A54B0D">
              <w:rPr>
                <w:rFonts w:ascii="Times New Roman" w:hAnsi="Times New Roman" w:cs="Times New Roman"/>
                <w:sz w:val="24"/>
                <w:szCs w:val="24"/>
              </w:rPr>
              <w:t>examples</w:t>
            </w:r>
            <w:proofErr w:type="gramEnd"/>
            <w:r w:rsidRPr="00A54B0D">
              <w:rPr>
                <w:rFonts w:ascii="Times New Roman" w:hAnsi="Times New Roman" w:cs="Times New Roman"/>
                <w:sz w:val="24"/>
                <w:szCs w:val="24"/>
              </w:rPr>
              <w:t>, please refer to Table 1 in the main manuscript.</w:t>
            </w:r>
          </w:p>
        </w:tc>
      </w:tr>
      <w:tr w:rsidR="006F17CE" w:rsidRPr="00A54B0D" w14:paraId="11D2C06E" w14:textId="77777777" w:rsidTr="00577ED1">
        <w:trPr>
          <w:trHeight w:val="1440"/>
        </w:trPr>
        <w:tc>
          <w:tcPr>
            <w:tcW w:w="0" w:type="auto"/>
            <w:hideMark/>
          </w:tcPr>
          <w:p w14:paraId="39C2E249"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Morality</w:t>
            </w:r>
          </w:p>
        </w:tc>
        <w:tc>
          <w:tcPr>
            <w:tcW w:w="0" w:type="auto"/>
            <w:hideMark/>
          </w:tcPr>
          <w:p w14:paraId="046FED0E"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54E5E01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Any perspective — or policy objective or action (including proposed </w:t>
            </w:r>
            <w:proofErr w:type="gramStart"/>
            <w:r w:rsidRPr="00A54B0D">
              <w:rPr>
                <w:rFonts w:ascii="Times New Roman" w:hAnsi="Times New Roman" w:cs="Times New Roman"/>
                <w:sz w:val="24"/>
                <w:szCs w:val="24"/>
              </w:rPr>
              <w:t>action) —</w:t>
            </w:r>
            <w:proofErr w:type="gramEnd"/>
            <w:r w:rsidRPr="00A54B0D">
              <w:rPr>
                <w:rFonts w:ascii="Times New Roman" w:hAnsi="Times New Roman" w:cs="Times New Roman"/>
                <w:sz w:val="24"/>
                <w:szCs w:val="24"/>
              </w:rPr>
              <w:t xml:space="preserve"> that is compelled by moral doctrine or interpretation, logic, </w:t>
            </w:r>
            <w:proofErr w:type="spellStart"/>
            <w:r w:rsidRPr="00A54B0D">
              <w:rPr>
                <w:rFonts w:ascii="Times New Roman" w:hAnsi="Times New Roman" w:cs="Times New Roman"/>
                <w:sz w:val="24"/>
                <w:szCs w:val="24"/>
              </w:rPr>
              <w:t>uty</w:t>
            </w:r>
            <w:proofErr w:type="spellEnd"/>
            <w:r w:rsidRPr="00A54B0D">
              <w:rPr>
                <w:rFonts w:ascii="Times New Roman" w:hAnsi="Times New Roman" w:cs="Times New Roman"/>
                <w:sz w:val="24"/>
                <w:szCs w:val="24"/>
              </w:rPr>
              <w:t>, honor, honesty/integrity, righteousness or any other sense of ethics or social responsibility. Calculated way for someone to think about right and wrong rather than emotion. Often, the phrase “common sense” use used to connote logic.</w:t>
            </w:r>
          </w:p>
        </w:tc>
      </w:tr>
      <w:tr w:rsidR="006F17CE" w:rsidRPr="00A54B0D" w14:paraId="332B22D5" w14:textId="77777777" w:rsidTr="00577ED1">
        <w:trPr>
          <w:trHeight w:val="1728"/>
        </w:trPr>
        <w:tc>
          <w:tcPr>
            <w:tcW w:w="0" w:type="auto"/>
            <w:hideMark/>
          </w:tcPr>
          <w:p w14:paraId="5D2CE8E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Advocacy/Endorsement</w:t>
            </w:r>
          </w:p>
        </w:tc>
        <w:tc>
          <w:tcPr>
            <w:tcW w:w="0" w:type="auto"/>
            <w:hideMark/>
          </w:tcPr>
          <w:p w14:paraId="1EF0589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5843F5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A way of presenting information that promotes a particular viewpoint, policy, or action. It is designed to persuade the audience to support a specific cause, agenda, or position. This type of frame often includes subjective elements such as endorsements, recognition of efforts, calls to action, and expressions of support or opposition. </w:t>
            </w:r>
          </w:p>
          <w:p w14:paraId="3D7E2726" w14:textId="77777777" w:rsidR="006F17CE" w:rsidRPr="00A54B0D" w:rsidRDefault="006F17CE" w:rsidP="00577ED1">
            <w:pPr>
              <w:rPr>
                <w:rFonts w:ascii="Times New Roman" w:hAnsi="Times New Roman" w:cs="Times New Roman"/>
                <w:sz w:val="24"/>
                <w:szCs w:val="24"/>
              </w:rPr>
            </w:pPr>
          </w:p>
          <w:p w14:paraId="2BB0A809"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This frame can be general or specific advocacy.  For example, it can include advocating for general gun violence prevention (viewpoint) or protecting the rights of firearm owners through legislation (policy). It can also include advocating or promoting one’s own actions towards advancing a specific </w:t>
            </w:r>
            <w:r w:rsidRPr="00A54B0D">
              <w:rPr>
                <w:rFonts w:ascii="Times New Roman" w:hAnsi="Times New Roman" w:cs="Times New Roman"/>
                <w:sz w:val="24"/>
                <w:szCs w:val="24"/>
              </w:rPr>
              <w:lastRenderedPageBreak/>
              <w:t>goal. A vote or sponsorship of a bill is an endorsement.</w:t>
            </w:r>
          </w:p>
        </w:tc>
      </w:tr>
      <w:tr w:rsidR="006F17CE" w:rsidRPr="00A54B0D" w14:paraId="79574100" w14:textId="77777777" w:rsidTr="00577ED1">
        <w:trPr>
          <w:trHeight w:val="1152"/>
        </w:trPr>
        <w:tc>
          <w:tcPr>
            <w:tcW w:w="0" w:type="auto"/>
            <w:hideMark/>
          </w:tcPr>
          <w:p w14:paraId="18E41CB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Emotional Appeal or Moral Outrage</w:t>
            </w:r>
          </w:p>
        </w:tc>
        <w:tc>
          <w:tcPr>
            <w:tcW w:w="0" w:type="auto"/>
            <w:hideMark/>
          </w:tcPr>
          <w:p w14:paraId="022F9D4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77B1C17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Uses words and phrases to evoke sympathy, sorrow, and a sense of tragedy. Uses phrases to express injustice and moral outrage which can motivate audiences to act against an issue. Using facts or statistics to highlight the shear scope of an issue and evoke a sense of moral imperative.</w:t>
            </w:r>
          </w:p>
        </w:tc>
      </w:tr>
      <w:tr w:rsidR="006F17CE" w:rsidRPr="00A54B0D" w14:paraId="140E52AE" w14:textId="77777777" w:rsidTr="00577ED1">
        <w:trPr>
          <w:trHeight w:val="864"/>
        </w:trPr>
        <w:tc>
          <w:tcPr>
            <w:tcW w:w="0" w:type="auto"/>
            <w:hideMark/>
          </w:tcPr>
          <w:p w14:paraId="2365A73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Cultural Identity</w:t>
            </w:r>
          </w:p>
        </w:tc>
        <w:tc>
          <w:tcPr>
            <w:tcW w:w="0" w:type="auto"/>
            <w:hideMark/>
          </w:tcPr>
          <w:p w14:paraId="0DCDD45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2C56ABE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Relates to social norms, trends, values, and customs. For example, it can include hunting and sporting events, shooting season in Pennsylvania. It may also refer to tradition and firearms as a heritage item.</w:t>
            </w:r>
          </w:p>
        </w:tc>
      </w:tr>
      <w:tr w:rsidR="006F17CE" w:rsidRPr="00A54B0D" w14:paraId="50126285" w14:textId="77777777" w:rsidTr="00577ED1">
        <w:trPr>
          <w:trHeight w:val="1440"/>
        </w:trPr>
        <w:tc>
          <w:tcPr>
            <w:tcW w:w="0" w:type="auto"/>
            <w:hideMark/>
          </w:tcPr>
          <w:p w14:paraId="04869DCE"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Equality or Equity</w:t>
            </w:r>
          </w:p>
        </w:tc>
        <w:tc>
          <w:tcPr>
            <w:tcW w:w="0" w:type="auto"/>
            <w:hideMark/>
          </w:tcPr>
          <w:p w14:paraId="3B608AF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1C079EE"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Equality or inequality with which laws, punishment, rewards, and resources are applied or distributed among individuals or groups. Also, the balance between the rights or interests of one individual or group compared to another individual or group.</w:t>
            </w:r>
          </w:p>
        </w:tc>
      </w:tr>
      <w:tr w:rsidR="006F17CE" w:rsidRPr="00A54B0D" w14:paraId="55C88DD2" w14:textId="77777777" w:rsidTr="00577ED1">
        <w:trPr>
          <w:trHeight w:val="2304"/>
        </w:trPr>
        <w:tc>
          <w:tcPr>
            <w:tcW w:w="0" w:type="auto"/>
            <w:hideMark/>
          </w:tcPr>
          <w:p w14:paraId="6C5A77F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Criminology and Policing</w:t>
            </w:r>
          </w:p>
        </w:tc>
        <w:tc>
          <w:tcPr>
            <w:tcW w:w="0" w:type="auto"/>
            <w:hideMark/>
          </w:tcPr>
          <w:p w14:paraId="65B8FB9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497FCC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Framing gun violence within the context of crime and law enforcement. Specifically, if the problem or solutions are grounded in crime prevention or law enforcement interventions (ex. longer sentences for perpetrators or criminal penalties for gun-related offenses); portrayals of gun violence that are intertwined with the criminal justice system (ex. highlighting gang violence, armed robberies); involvement </w:t>
            </w:r>
            <w:r w:rsidRPr="00A54B0D">
              <w:rPr>
                <w:rFonts w:ascii="Times New Roman" w:hAnsi="Times New Roman" w:cs="Times New Roman"/>
                <w:sz w:val="24"/>
                <w:szCs w:val="24"/>
              </w:rPr>
              <w:lastRenderedPageBreak/>
              <w:t>of law enforcement as primary responders (as opposed to healthcare workers or community members).</w:t>
            </w:r>
          </w:p>
        </w:tc>
      </w:tr>
      <w:tr w:rsidR="006F17CE" w:rsidRPr="00A54B0D" w14:paraId="0A5892BB" w14:textId="77777777" w:rsidTr="00577ED1">
        <w:trPr>
          <w:trHeight w:val="2880"/>
        </w:trPr>
        <w:tc>
          <w:tcPr>
            <w:tcW w:w="0" w:type="auto"/>
            <w:hideMark/>
          </w:tcPr>
          <w:p w14:paraId="09F587F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Constitutionality and Jurisprudence</w:t>
            </w:r>
          </w:p>
        </w:tc>
        <w:tc>
          <w:tcPr>
            <w:tcW w:w="0" w:type="auto"/>
            <w:hideMark/>
          </w:tcPr>
          <w:p w14:paraId="2B6E881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4A67C76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The constraints imposed </w:t>
            </w:r>
            <w:proofErr w:type="gramStart"/>
            <w:r w:rsidRPr="00A54B0D">
              <w:rPr>
                <w:rFonts w:ascii="Times New Roman" w:hAnsi="Times New Roman" w:cs="Times New Roman"/>
                <w:sz w:val="24"/>
                <w:szCs w:val="24"/>
              </w:rPr>
              <w:t>on</w:t>
            </w:r>
            <w:proofErr w:type="gramEnd"/>
            <w:r w:rsidRPr="00A54B0D">
              <w:rPr>
                <w:rFonts w:ascii="Times New Roman" w:hAnsi="Times New Roman" w:cs="Times New Roman"/>
                <w:sz w:val="24"/>
                <w:szCs w:val="24"/>
              </w:rPr>
              <w:t xml:space="preserve"> </w:t>
            </w:r>
            <w:proofErr w:type="gramStart"/>
            <w:r w:rsidRPr="00A54B0D">
              <w:rPr>
                <w:rFonts w:ascii="Times New Roman" w:hAnsi="Times New Roman" w:cs="Times New Roman"/>
                <w:sz w:val="24"/>
                <w:szCs w:val="24"/>
              </w:rPr>
              <w:t>or</w:t>
            </w:r>
            <w:proofErr w:type="gramEnd"/>
            <w:r w:rsidRPr="00A54B0D">
              <w:rPr>
                <w:rFonts w:ascii="Times New Roman" w:hAnsi="Times New Roman" w:cs="Times New Roman"/>
                <w:sz w:val="24"/>
                <w:szCs w:val="24"/>
              </w:rPr>
              <w:t xml:space="preserve"> freedoms granted to individuals, government, and corporations via the Constitution, Bill of Rights and other amendments, or judicial interpretation. This deals specifically with the authority of government to regulate, and the authority of individuals/corporations to act independently of government.</w:t>
            </w:r>
            <w:r w:rsidRPr="00A54B0D">
              <w:rPr>
                <w:rFonts w:ascii="Times New Roman" w:hAnsi="Times New Roman" w:cs="Times New Roman"/>
                <w:sz w:val="24"/>
                <w:szCs w:val="24"/>
              </w:rPr>
              <w:br/>
            </w:r>
            <w:r w:rsidRPr="00A54B0D">
              <w:rPr>
                <w:rFonts w:ascii="Times New Roman" w:hAnsi="Times New Roman" w:cs="Times New Roman"/>
                <w:sz w:val="24"/>
                <w:szCs w:val="24"/>
              </w:rPr>
              <w:br/>
              <w:t xml:space="preserve">Examples: Civil libertarianism, citing encroachment on constitutional rights and individual liberties, most commonly the second amendment. Local laws/policies wrapped in legal or lawmaker language. Citation of legal cases </w:t>
            </w:r>
            <w:proofErr w:type="gramStart"/>
            <w:r w:rsidRPr="00A54B0D">
              <w:rPr>
                <w:rFonts w:ascii="Times New Roman" w:hAnsi="Times New Roman" w:cs="Times New Roman"/>
                <w:sz w:val="24"/>
                <w:szCs w:val="24"/>
              </w:rPr>
              <w:t>are</w:t>
            </w:r>
            <w:proofErr w:type="gramEnd"/>
            <w:r w:rsidRPr="00A54B0D">
              <w:rPr>
                <w:rFonts w:ascii="Times New Roman" w:hAnsi="Times New Roman" w:cs="Times New Roman"/>
                <w:sz w:val="24"/>
                <w:szCs w:val="24"/>
              </w:rPr>
              <w:t xml:space="preserve"> also included in this frame.</w:t>
            </w:r>
          </w:p>
        </w:tc>
      </w:tr>
      <w:tr w:rsidR="006F17CE" w:rsidRPr="00A54B0D" w14:paraId="79F17E58" w14:textId="77777777" w:rsidTr="00577ED1">
        <w:trPr>
          <w:trHeight w:val="2016"/>
        </w:trPr>
        <w:tc>
          <w:tcPr>
            <w:tcW w:w="0" w:type="auto"/>
            <w:hideMark/>
          </w:tcPr>
          <w:p w14:paraId="0301D62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Safety/Defense/Protection</w:t>
            </w:r>
          </w:p>
        </w:tc>
        <w:tc>
          <w:tcPr>
            <w:tcW w:w="0" w:type="auto"/>
            <w:hideMark/>
          </w:tcPr>
          <w:p w14:paraId="7881047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895E7F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Safety, threats to security, and protection of one’s person, family, in-group, nation, etc. Generally, an action or a call to action that can be taken to protect the welfare of a person, group, nation sometimes from a not yet manifested threat. In this frame, the coder </w:t>
            </w:r>
            <w:proofErr w:type="gramStart"/>
            <w:r w:rsidRPr="00A54B0D">
              <w:rPr>
                <w:rFonts w:ascii="Times New Roman" w:hAnsi="Times New Roman" w:cs="Times New Roman"/>
                <w:sz w:val="24"/>
                <w:szCs w:val="24"/>
              </w:rPr>
              <w:t>ask</w:t>
            </w:r>
            <w:proofErr w:type="gramEnd"/>
            <w:r w:rsidRPr="00A54B0D">
              <w:rPr>
                <w:rFonts w:ascii="Times New Roman" w:hAnsi="Times New Roman" w:cs="Times New Roman"/>
                <w:sz w:val="24"/>
                <w:szCs w:val="24"/>
              </w:rPr>
              <w:t xml:space="preserve"> if the post is using rhetoric related to security/defense/protection to persuade you to take a stance or delineates specific steps to provide that security/defense/protection. For example, this frame could include lauding the use of a </w:t>
            </w:r>
            <w:r w:rsidRPr="00A54B0D">
              <w:rPr>
                <w:rFonts w:ascii="Times New Roman" w:hAnsi="Times New Roman" w:cs="Times New Roman"/>
                <w:sz w:val="24"/>
                <w:szCs w:val="24"/>
              </w:rPr>
              <w:lastRenderedPageBreak/>
              <w:t xml:space="preserve">firearm/gun for self-protection or protecting the </w:t>
            </w:r>
            <w:proofErr w:type="gramStart"/>
            <w:r w:rsidRPr="00A54B0D">
              <w:rPr>
                <w:rFonts w:ascii="Times New Roman" w:hAnsi="Times New Roman" w:cs="Times New Roman"/>
                <w:sz w:val="24"/>
                <w:szCs w:val="24"/>
              </w:rPr>
              <w:t>community, or</w:t>
            </w:r>
            <w:proofErr w:type="gramEnd"/>
            <w:r w:rsidRPr="00A54B0D">
              <w:rPr>
                <w:rFonts w:ascii="Times New Roman" w:hAnsi="Times New Roman" w:cs="Times New Roman"/>
                <w:sz w:val="24"/>
                <w:szCs w:val="24"/>
              </w:rPr>
              <w:t xml:space="preserve"> protecting the community from gun violence itself.</w:t>
            </w:r>
          </w:p>
        </w:tc>
      </w:tr>
      <w:tr w:rsidR="006F17CE" w:rsidRPr="00A54B0D" w14:paraId="6A13C113" w14:textId="77777777" w:rsidTr="00577ED1">
        <w:trPr>
          <w:trHeight w:val="2880"/>
        </w:trPr>
        <w:tc>
          <w:tcPr>
            <w:tcW w:w="0" w:type="auto"/>
            <w:hideMark/>
          </w:tcPr>
          <w:p w14:paraId="4088E0F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Public Opinion</w:t>
            </w:r>
          </w:p>
        </w:tc>
        <w:tc>
          <w:tcPr>
            <w:tcW w:w="0" w:type="auto"/>
            <w:hideMark/>
          </w:tcPr>
          <w:p w14:paraId="5E2B4C4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3E19425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References to general social attitudes, polling and demographic information, as well as implied or actual consequences of diverging from or “getting ahead of” public opinion or polls. Often uses the phrases “most people support…”</w:t>
            </w:r>
          </w:p>
        </w:tc>
      </w:tr>
      <w:tr w:rsidR="006F17CE" w:rsidRPr="00A54B0D" w14:paraId="10CFC9C8" w14:textId="77777777" w:rsidTr="00577ED1">
        <w:trPr>
          <w:trHeight w:val="2592"/>
        </w:trPr>
        <w:tc>
          <w:tcPr>
            <w:tcW w:w="0" w:type="auto"/>
            <w:hideMark/>
          </w:tcPr>
          <w:p w14:paraId="12E2E73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Health and Public Health</w:t>
            </w:r>
          </w:p>
        </w:tc>
        <w:tc>
          <w:tcPr>
            <w:tcW w:w="0" w:type="auto"/>
            <w:hideMark/>
          </w:tcPr>
          <w:p w14:paraId="25CC353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262266D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Is the public health approach to curb gun violence as described by the Centers for Disease Control and Prevention (CDC) mentioned (must meet one criteria): </w:t>
            </w:r>
            <w:r w:rsidRPr="00A54B0D">
              <w:rPr>
                <w:rFonts w:ascii="Times New Roman" w:hAnsi="Times New Roman" w:cs="Times New Roman"/>
                <w:sz w:val="24"/>
                <w:szCs w:val="24"/>
              </w:rPr>
              <w:br/>
              <w:t xml:space="preserve">a. Does post cite statistics or the importance of research, generating data, risk factors, etc.? </w:t>
            </w:r>
            <w:r w:rsidRPr="00A54B0D">
              <w:rPr>
                <w:rFonts w:ascii="Times New Roman" w:hAnsi="Times New Roman" w:cs="Times New Roman"/>
                <w:sz w:val="24"/>
                <w:szCs w:val="24"/>
              </w:rPr>
              <w:br/>
              <w:t xml:space="preserve">b. Does the post mention using evidence-based practices or science? </w:t>
            </w:r>
            <w:r w:rsidRPr="00A54B0D">
              <w:rPr>
                <w:rFonts w:ascii="Times New Roman" w:hAnsi="Times New Roman" w:cs="Times New Roman"/>
                <w:sz w:val="24"/>
                <w:szCs w:val="24"/>
              </w:rPr>
              <w:br/>
              <w:t>c. Does the post mention evaluating the implementation of the methods used to prevent firearm violence?</w:t>
            </w:r>
          </w:p>
        </w:tc>
      </w:tr>
      <w:tr w:rsidR="006F17CE" w:rsidRPr="00A54B0D" w14:paraId="77D146EC" w14:textId="77777777" w:rsidTr="00577ED1">
        <w:trPr>
          <w:trHeight w:val="864"/>
        </w:trPr>
        <w:tc>
          <w:tcPr>
            <w:tcW w:w="0" w:type="auto"/>
            <w:hideMark/>
          </w:tcPr>
          <w:p w14:paraId="0E7CAD5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Partisan</w:t>
            </w:r>
          </w:p>
        </w:tc>
        <w:tc>
          <w:tcPr>
            <w:tcW w:w="0" w:type="auto"/>
            <w:hideMark/>
          </w:tcPr>
          <w:p w14:paraId="60119D9E"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1ED8A22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Defines the problems or solutions of gun violence through a partisan lens by touting one political party over another or castigating a specific political party.</w:t>
            </w:r>
          </w:p>
        </w:tc>
      </w:tr>
      <w:tr w:rsidR="006F17CE" w:rsidRPr="00A54B0D" w14:paraId="1840D2F0" w14:textId="77777777" w:rsidTr="00577ED1">
        <w:trPr>
          <w:trHeight w:val="864"/>
        </w:trPr>
        <w:tc>
          <w:tcPr>
            <w:tcW w:w="0" w:type="auto"/>
          </w:tcPr>
          <w:p w14:paraId="329AB1A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Informational</w:t>
            </w:r>
          </w:p>
        </w:tc>
        <w:tc>
          <w:tcPr>
            <w:tcW w:w="0" w:type="auto"/>
          </w:tcPr>
          <w:p w14:paraId="739D954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7F73ACAF" w14:textId="77777777" w:rsidR="006F17CE" w:rsidRPr="008B16B8" w:rsidRDefault="006F17CE" w:rsidP="00577ED1">
            <w:pPr>
              <w:rPr>
                <w:rFonts w:ascii="Times New Roman" w:hAnsi="Times New Roman" w:cs="Times New Roman"/>
                <w:sz w:val="24"/>
                <w:szCs w:val="24"/>
              </w:rPr>
            </w:pPr>
            <w:r w:rsidRPr="008B16B8">
              <w:rPr>
                <w:rFonts w:ascii="Times New Roman" w:hAnsi="Times New Roman" w:cs="Times New Roman"/>
                <w:sz w:val="24"/>
                <w:szCs w:val="24"/>
              </w:rPr>
              <w:t xml:space="preserve">The entire post should convey information which could include statistics, public health recommendations, information about an or event/campaign/vigil. While </w:t>
            </w:r>
            <w:r w:rsidRPr="008B16B8">
              <w:rPr>
                <w:rFonts w:ascii="Times New Roman" w:hAnsi="Times New Roman" w:cs="Times New Roman"/>
                <w:sz w:val="24"/>
                <w:szCs w:val="24"/>
              </w:rPr>
              <w:lastRenderedPageBreak/>
              <w:t xml:space="preserve">neutral on the surface, </w:t>
            </w:r>
            <w:proofErr w:type="gramStart"/>
            <w:r w:rsidRPr="008B16B8">
              <w:rPr>
                <w:rFonts w:ascii="Times New Roman" w:hAnsi="Times New Roman" w:cs="Times New Roman"/>
                <w:sz w:val="24"/>
                <w:szCs w:val="24"/>
              </w:rPr>
              <w:t>may</w:t>
            </w:r>
            <w:proofErr w:type="gramEnd"/>
            <w:r w:rsidRPr="008B16B8">
              <w:rPr>
                <w:rFonts w:ascii="Times New Roman" w:hAnsi="Times New Roman" w:cs="Times New Roman"/>
                <w:sz w:val="24"/>
                <w:szCs w:val="24"/>
              </w:rPr>
              <w:t xml:space="preserve"> not be felt as neutral since authors tend to use jarring statistics to drive home a point. There should be no partisan language in </w:t>
            </w:r>
            <w:proofErr w:type="gramStart"/>
            <w:r w:rsidRPr="008B16B8">
              <w:rPr>
                <w:rFonts w:ascii="Times New Roman" w:hAnsi="Times New Roman" w:cs="Times New Roman"/>
                <w:sz w:val="24"/>
                <w:szCs w:val="24"/>
              </w:rPr>
              <w:t>an</w:t>
            </w:r>
            <w:proofErr w:type="gramEnd"/>
            <w:r w:rsidRPr="008B16B8">
              <w:rPr>
                <w:rFonts w:ascii="Times New Roman" w:hAnsi="Times New Roman" w:cs="Times New Roman"/>
                <w:sz w:val="24"/>
                <w:szCs w:val="24"/>
              </w:rPr>
              <w:t xml:space="preserve"> post that is information-framed.</w:t>
            </w:r>
          </w:p>
          <w:p w14:paraId="13B4C045" w14:textId="77777777" w:rsidR="006F17CE" w:rsidRPr="00A54B0D" w:rsidRDefault="006F17CE" w:rsidP="00577ED1">
            <w:pPr>
              <w:rPr>
                <w:rFonts w:ascii="Times New Roman" w:hAnsi="Times New Roman" w:cs="Times New Roman"/>
                <w:sz w:val="24"/>
                <w:szCs w:val="24"/>
              </w:rPr>
            </w:pPr>
          </w:p>
        </w:tc>
      </w:tr>
      <w:tr w:rsidR="006F17CE" w:rsidRPr="00A54B0D" w14:paraId="0602D11F" w14:textId="77777777" w:rsidTr="00577ED1">
        <w:trPr>
          <w:trHeight w:val="864"/>
        </w:trPr>
        <w:tc>
          <w:tcPr>
            <w:tcW w:w="0" w:type="auto"/>
          </w:tcPr>
          <w:p w14:paraId="09E8F9B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Religiosity or Spirituality</w:t>
            </w:r>
          </w:p>
        </w:tc>
        <w:tc>
          <w:tcPr>
            <w:tcW w:w="0" w:type="auto"/>
          </w:tcPr>
          <w:p w14:paraId="49BF86C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53A1DF06" w14:textId="77777777" w:rsidR="006F17CE" w:rsidRPr="00A83EAF" w:rsidRDefault="006F17CE" w:rsidP="00577ED1">
            <w:pPr>
              <w:rPr>
                <w:rFonts w:ascii="Times New Roman" w:hAnsi="Times New Roman" w:cs="Times New Roman"/>
                <w:sz w:val="24"/>
                <w:szCs w:val="24"/>
              </w:rPr>
            </w:pPr>
            <w:r w:rsidRPr="00A83EAF">
              <w:rPr>
                <w:rFonts w:ascii="Times New Roman" w:hAnsi="Times New Roman" w:cs="Times New Roman"/>
                <w:sz w:val="24"/>
                <w:szCs w:val="24"/>
              </w:rPr>
              <w:t xml:space="preserve">Relates to tying right to bear a firearm or firearm violence to religiosity or spirituality. </w:t>
            </w:r>
          </w:p>
          <w:p w14:paraId="03F5D083" w14:textId="77777777" w:rsidR="006F17CE" w:rsidRPr="00A83EAF" w:rsidRDefault="006F17CE" w:rsidP="00577ED1">
            <w:pPr>
              <w:rPr>
                <w:rFonts w:ascii="Times New Roman" w:hAnsi="Times New Roman" w:cs="Times New Roman"/>
                <w:sz w:val="24"/>
                <w:szCs w:val="24"/>
              </w:rPr>
            </w:pPr>
          </w:p>
          <w:p w14:paraId="084CD13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Ex. “God given right” or “may God bless this state”</w:t>
            </w:r>
          </w:p>
        </w:tc>
      </w:tr>
      <w:tr w:rsidR="006F17CE" w:rsidRPr="00A54B0D" w14:paraId="41A6F733" w14:textId="77777777" w:rsidTr="00577ED1">
        <w:trPr>
          <w:trHeight w:val="288"/>
        </w:trPr>
        <w:tc>
          <w:tcPr>
            <w:tcW w:w="0" w:type="auto"/>
            <w:gridSpan w:val="3"/>
            <w:hideMark/>
          </w:tcPr>
          <w:p w14:paraId="351D5732"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i/>
                <w:iCs/>
                <w:sz w:val="24"/>
                <w:szCs w:val="24"/>
              </w:rPr>
              <w:t>Domain 2: The Policy Stream</w:t>
            </w:r>
          </w:p>
        </w:tc>
      </w:tr>
      <w:tr w:rsidR="006F17CE" w:rsidRPr="00A54B0D" w14:paraId="15773F8A" w14:textId="77777777" w:rsidTr="00577ED1">
        <w:trPr>
          <w:trHeight w:val="288"/>
        </w:trPr>
        <w:tc>
          <w:tcPr>
            <w:tcW w:w="0" w:type="auto"/>
            <w:gridSpan w:val="3"/>
            <w:hideMark/>
          </w:tcPr>
          <w:p w14:paraId="3D6637CB" w14:textId="77777777" w:rsidR="006F17CE" w:rsidRPr="00A54B0D" w:rsidRDefault="006F17CE" w:rsidP="00577ED1">
            <w:pPr>
              <w:rPr>
                <w:rFonts w:ascii="Times New Roman" w:hAnsi="Times New Roman" w:cs="Times New Roman"/>
                <w:b/>
                <w:bCs/>
                <w:sz w:val="24"/>
                <w:szCs w:val="24"/>
              </w:rPr>
            </w:pPr>
            <w:r>
              <w:rPr>
                <w:rFonts w:ascii="Times New Roman" w:hAnsi="Times New Roman" w:cs="Times New Roman"/>
                <w:b/>
                <w:bCs/>
                <w:sz w:val="24"/>
                <w:szCs w:val="24"/>
              </w:rPr>
              <w:t>Causal blame</w:t>
            </w:r>
            <w:r w:rsidRPr="00A54B0D">
              <w:rPr>
                <w:rFonts w:ascii="Times New Roman" w:hAnsi="Times New Roman" w:cs="Times New Roman"/>
                <w:b/>
                <w:bCs/>
                <w:sz w:val="24"/>
                <w:szCs w:val="24"/>
              </w:rPr>
              <w:t xml:space="preserve"> or Causal Attribution: Persons, policies, or entities held responsible for firearm violence</w:t>
            </w:r>
          </w:p>
        </w:tc>
      </w:tr>
      <w:tr w:rsidR="006F17CE" w:rsidRPr="00A54B0D" w14:paraId="32A09BFE" w14:textId="77777777" w:rsidTr="00577ED1">
        <w:trPr>
          <w:trHeight w:val="864"/>
        </w:trPr>
        <w:tc>
          <w:tcPr>
            <w:tcW w:w="0" w:type="auto"/>
            <w:hideMark/>
          </w:tcPr>
          <w:p w14:paraId="1ACD4DF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Mental health and/or Illness</w:t>
            </w:r>
          </w:p>
        </w:tc>
        <w:tc>
          <w:tcPr>
            <w:tcW w:w="0" w:type="auto"/>
            <w:hideMark/>
          </w:tcPr>
          <w:p w14:paraId="5135362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16C4BB2"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instances where mental illness (depression, anxiety, bipolar disorder, psychosis) of an individual are </w:t>
            </w:r>
            <w:r>
              <w:rPr>
                <w:rFonts w:ascii="Times New Roman" w:hAnsi="Times New Roman" w:cs="Times New Roman"/>
                <w:sz w:val="24"/>
                <w:szCs w:val="24"/>
              </w:rPr>
              <w:t>causal blame</w:t>
            </w:r>
            <w:r w:rsidRPr="00A54B0D">
              <w:rPr>
                <w:rFonts w:ascii="Times New Roman" w:hAnsi="Times New Roman" w:cs="Times New Roman"/>
                <w:sz w:val="24"/>
                <w:szCs w:val="24"/>
              </w:rPr>
              <w:t xml:space="preserve">d, OR lack of resources to address mental health and illness is </w:t>
            </w:r>
            <w:r>
              <w:rPr>
                <w:rFonts w:ascii="Times New Roman" w:hAnsi="Times New Roman" w:cs="Times New Roman"/>
                <w:sz w:val="24"/>
                <w:szCs w:val="24"/>
              </w:rPr>
              <w:t>causal blame</w:t>
            </w:r>
            <w:r w:rsidRPr="00A54B0D">
              <w:rPr>
                <w:rFonts w:ascii="Times New Roman" w:hAnsi="Times New Roman" w:cs="Times New Roman"/>
                <w:sz w:val="24"/>
                <w:szCs w:val="24"/>
              </w:rPr>
              <w:t>d.</w:t>
            </w:r>
          </w:p>
        </w:tc>
      </w:tr>
      <w:tr w:rsidR="006F17CE" w:rsidRPr="00A54B0D" w14:paraId="74D44FBD" w14:textId="77777777" w:rsidTr="00577ED1">
        <w:trPr>
          <w:trHeight w:val="611"/>
        </w:trPr>
        <w:tc>
          <w:tcPr>
            <w:tcW w:w="0" w:type="auto"/>
            <w:hideMark/>
          </w:tcPr>
          <w:p w14:paraId="568D3F2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Weak Firearm Laws</w:t>
            </w:r>
          </w:p>
        </w:tc>
        <w:tc>
          <w:tcPr>
            <w:tcW w:w="0" w:type="auto"/>
            <w:hideMark/>
          </w:tcPr>
          <w:p w14:paraId="03BDC03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21848AFA"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instances where non-specific mentions of weak or lax policies have led to firearm violence.</w:t>
            </w:r>
          </w:p>
        </w:tc>
      </w:tr>
      <w:tr w:rsidR="006F17CE" w:rsidRPr="00A54B0D" w14:paraId="6CBFDFB7" w14:textId="77777777" w:rsidTr="00577ED1">
        <w:trPr>
          <w:trHeight w:val="576"/>
        </w:trPr>
        <w:tc>
          <w:tcPr>
            <w:tcW w:w="0" w:type="auto"/>
            <w:hideMark/>
          </w:tcPr>
          <w:p w14:paraId="10040B5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Increased Ownership, Access, or Availability to Firearms</w:t>
            </w:r>
          </w:p>
        </w:tc>
        <w:tc>
          <w:tcPr>
            <w:tcW w:w="0" w:type="auto"/>
            <w:hideMark/>
          </w:tcPr>
          <w:p w14:paraId="0633978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448826A"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the increased ownership, access, or availability of firearms. This code specifically attributes </w:t>
            </w:r>
            <w:r>
              <w:rPr>
                <w:rFonts w:ascii="Times New Roman" w:hAnsi="Times New Roman" w:cs="Times New Roman"/>
                <w:sz w:val="24"/>
                <w:szCs w:val="24"/>
              </w:rPr>
              <w:t>causal blame</w:t>
            </w:r>
            <w:r w:rsidRPr="00A54B0D">
              <w:rPr>
                <w:rFonts w:ascii="Times New Roman" w:hAnsi="Times New Roman" w:cs="Times New Roman"/>
                <w:sz w:val="24"/>
                <w:szCs w:val="24"/>
              </w:rPr>
              <w:t xml:space="preserve"> to one of these three categories compared to the “weak firearm laws” variable.</w:t>
            </w:r>
          </w:p>
        </w:tc>
      </w:tr>
      <w:tr w:rsidR="006F17CE" w:rsidRPr="00A54B0D" w14:paraId="230C2AEC" w14:textId="77777777" w:rsidTr="00577ED1">
        <w:trPr>
          <w:trHeight w:val="864"/>
        </w:trPr>
        <w:tc>
          <w:tcPr>
            <w:tcW w:w="0" w:type="auto"/>
            <w:hideMark/>
          </w:tcPr>
          <w:p w14:paraId="17F66D1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Decreased Possession of Firearms</w:t>
            </w:r>
          </w:p>
        </w:tc>
        <w:tc>
          <w:tcPr>
            <w:tcW w:w="0" w:type="auto"/>
            <w:hideMark/>
          </w:tcPr>
          <w:p w14:paraId="63C2C2C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41B6F61A"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decreased access to </w:t>
            </w:r>
            <w:proofErr w:type="gramStart"/>
            <w:r w:rsidRPr="00A54B0D">
              <w:rPr>
                <w:rFonts w:ascii="Times New Roman" w:hAnsi="Times New Roman" w:cs="Times New Roman"/>
                <w:sz w:val="24"/>
                <w:szCs w:val="24"/>
              </w:rPr>
              <w:t>firearms</w:t>
            </w:r>
            <w:proofErr w:type="gramEnd"/>
            <w:r w:rsidRPr="00A54B0D">
              <w:rPr>
                <w:rFonts w:ascii="Times New Roman" w:hAnsi="Times New Roman" w:cs="Times New Roman"/>
                <w:sz w:val="24"/>
                <w:szCs w:val="24"/>
              </w:rPr>
              <w:t xml:space="preserve"> is </w:t>
            </w:r>
            <w:r>
              <w:rPr>
                <w:rFonts w:ascii="Times New Roman" w:hAnsi="Times New Roman" w:cs="Times New Roman"/>
                <w:sz w:val="24"/>
                <w:szCs w:val="24"/>
              </w:rPr>
              <w:t>causal blame</w:t>
            </w:r>
            <w:r w:rsidRPr="00A54B0D">
              <w:rPr>
                <w:rFonts w:ascii="Times New Roman" w:hAnsi="Times New Roman" w:cs="Times New Roman"/>
                <w:sz w:val="24"/>
                <w:szCs w:val="24"/>
              </w:rPr>
              <w:t>d for worsening firearm violence. Colloquially corresponds to the phrase: “the only thing that stops a bad guy with a gun is a good guy with a gun.”</w:t>
            </w:r>
          </w:p>
        </w:tc>
      </w:tr>
      <w:tr w:rsidR="006F17CE" w:rsidRPr="00A54B0D" w14:paraId="78F9B399" w14:textId="77777777" w:rsidTr="00577ED1">
        <w:trPr>
          <w:trHeight w:val="1728"/>
        </w:trPr>
        <w:tc>
          <w:tcPr>
            <w:tcW w:w="0" w:type="auto"/>
          </w:tcPr>
          <w:p w14:paraId="24D773A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Sociopolitical and Structural Determinants of Violence and Health</w:t>
            </w:r>
          </w:p>
        </w:tc>
        <w:tc>
          <w:tcPr>
            <w:tcW w:w="0" w:type="auto"/>
          </w:tcPr>
          <w:p w14:paraId="787CB84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63B6DAED"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structural inequities and sociopolitical determinants of health leading to disparate availability of physical, geographical, spatial, human, and financial resources, or the capacity of existing systems and resources. This includes lack of education, housing instability, poverty, lack of opportunity and employment, community disinvestment.</w:t>
            </w:r>
          </w:p>
        </w:tc>
      </w:tr>
      <w:tr w:rsidR="006F17CE" w:rsidRPr="00A54B0D" w14:paraId="7299A90E" w14:textId="77777777" w:rsidTr="00577ED1">
        <w:trPr>
          <w:trHeight w:val="864"/>
        </w:trPr>
        <w:tc>
          <w:tcPr>
            <w:tcW w:w="0" w:type="auto"/>
            <w:hideMark/>
          </w:tcPr>
          <w:p w14:paraId="1E6BFE4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Stereotyped/Biased/</w:t>
            </w:r>
            <w:proofErr w:type="gramStart"/>
            <w:r w:rsidRPr="00A54B0D">
              <w:rPr>
                <w:rFonts w:ascii="Times New Roman" w:hAnsi="Times New Roman" w:cs="Times New Roman"/>
                <w:sz w:val="24"/>
                <w:szCs w:val="24"/>
              </w:rPr>
              <w:t>Racist  Beliefs</w:t>
            </w:r>
            <w:proofErr w:type="gramEnd"/>
          </w:p>
        </w:tc>
        <w:tc>
          <w:tcPr>
            <w:tcW w:w="0" w:type="auto"/>
            <w:hideMark/>
          </w:tcPr>
          <w:p w14:paraId="3007A46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303B6B8C"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racist or stereotyped </w:t>
            </w:r>
            <w:r>
              <w:rPr>
                <w:rFonts w:ascii="Times New Roman" w:hAnsi="Times New Roman" w:cs="Times New Roman"/>
                <w:sz w:val="24"/>
                <w:szCs w:val="24"/>
              </w:rPr>
              <w:t>causal blame</w:t>
            </w:r>
            <w:r w:rsidRPr="00A54B0D">
              <w:rPr>
                <w:rFonts w:ascii="Times New Roman" w:hAnsi="Times New Roman" w:cs="Times New Roman"/>
                <w:sz w:val="24"/>
                <w:szCs w:val="24"/>
              </w:rPr>
              <w:t xml:space="preserve"> attributions towards one or more specific races, ethnicities, or religious identities. This may include stereotyped behaviors, cultures, attitudes, or practices.</w:t>
            </w:r>
          </w:p>
        </w:tc>
      </w:tr>
      <w:tr w:rsidR="006F17CE" w:rsidRPr="00A54B0D" w14:paraId="71C5926F" w14:textId="77777777" w:rsidTr="00577ED1">
        <w:trPr>
          <w:trHeight w:val="864"/>
        </w:trPr>
        <w:tc>
          <w:tcPr>
            <w:tcW w:w="0" w:type="auto"/>
            <w:hideMark/>
          </w:tcPr>
          <w:p w14:paraId="0BF77E1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Hatred/Hate Crime</w:t>
            </w:r>
          </w:p>
        </w:tc>
        <w:tc>
          <w:tcPr>
            <w:tcW w:w="0" w:type="auto"/>
            <w:hideMark/>
          </w:tcPr>
          <w:p w14:paraId="30AC0EF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53C6194D"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towards hate. This code must specify “hate” or “hate crime.” Co-select Stereotyped/Biased/Racist beliefs if a specific identifier for race, religion, ethnicity is included in this post.</w:t>
            </w:r>
          </w:p>
        </w:tc>
      </w:tr>
      <w:tr w:rsidR="006F17CE" w:rsidRPr="00A54B0D" w14:paraId="530758DB" w14:textId="77777777" w:rsidTr="00577ED1">
        <w:trPr>
          <w:trHeight w:val="576"/>
        </w:trPr>
        <w:tc>
          <w:tcPr>
            <w:tcW w:w="0" w:type="auto"/>
            <w:hideMark/>
          </w:tcPr>
          <w:p w14:paraId="438FA90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Firearms in the Hands or Wrong People</w:t>
            </w:r>
          </w:p>
        </w:tc>
        <w:tc>
          <w:tcPr>
            <w:tcW w:w="0" w:type="auto"/>
            <w:hideMark/>
          </w:tcPr>
          <w:p w14:paraId="79536EC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10CE3D03"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firearms in the hands of the wrong person or people. This code includes </w:t>
            </w:r>
            <w:r>
              <w:rPr>
                <w:rFonts w:ascii="Times New Roman" w:hAnsi="Times New Roman" w:cs="Times New Roman"/>
                <w:sz w:val="24"/>
                <w:szCs w:val="24"/>
              </w:rPr>
              <w:t>causal blame</w:t>
            </w:r>
            <w:r w:rsidRPr="00A54B0D">
              <w:rPr>
                <w:rFonts w:ascii="Times New Roman" w:hAnsi="Times New Roman" w:cs="Times New Roman"/>
                <w:sz w:val="24"/>
                <w:szCs w:val="24"/>
              </w:rPr>
              <w:t xml:space="preserve"> attributed to isolated shooters, “lone wolf,” or radicalized shooter. This code refers to the colloquial phrase “guns don’t kill people, people kill people.” The person is to </w:t>
            </w:r>
            <w:r>
              <w:rPr>
                <w:rFonts w:ascii="Times New Roman" w:hAnsi="Times New Roman" w:cs="Times New Roman"/>
                <w:sz w:val="24"/>
                <w:szCs w:val="24"/>
              </w:rPr>
              <w:t xml:space="preserve">causal </w:t>
            </w:r>
            <w:proofErr w:type="gramStart"/>
            <w:r>
              <w:rPr>
                <w:rFonts w:ascii="Times New Roman" w:hAnsi="Times New Roman" w:cs="Times New Roman"/>
                <w:sz w:val="24"/>
                <w:szCs w:val="24"/>
              </w:rPr>
              <w:t>blame</w:t>
            </w:r>
            <w:r w:rsidRPr="00A54B0D">
              <w:rPr>
                <w:rFonts w:ascii="Times New Roman" w:hAnsi="Times New Roman" w:cs="Times New Roman"/>
                <w:sz w:val="24"/>
                <w:szCs w:val="24"/>
              </w:rPr>
              <w:t>,</w:t>
            </w:r>
            <w:proofErr w:type="gramEnd"/>
            <w:r w:rsidRPr="00A54B0D">
              <w:rPr>
                <w:rFonts w:ascii="Times New Roman" w:hAnsi="Times New Roman" w:cs="Times New Roman"/>
                <w:sz w:val="24"/>
                <w:szCs w:val="24"/>
              </w:rPr>
              <w:t xml:space="preserve"> the gun is not to </w:t>
            </w:r>
            <w:r>
              <w:rPr>
                <w:rFonts w:ascii="Times New Roman" w:hAnsi="Times New Roman" w:cs="Times New Roman"/>
                <w:sz w:val="24"/>
                <w:szCs w:val="24"/>
              </w:rPr>
              <w:t>causal blame</w:t>
            </w:r>
            <w:r w:rsidRPr="00A54B0D">
              <w:rPr>
                <w:rFonts w:ascii="Times New Roman" w:hAnsi="Times New Roman" w:cs="Times New Roman"/>
                <w:sz w:val="24"/>
                <w:szCs w:val="24"/>
              </w:rPr>
              <w:t>.</w:t>
            </w:r>
          </w:p>
        </w:tc>
      </w:tr>
      <w:tr w:rsidR="006F17CE" w:rsidRPr="00A54B0D" w14:paraId="62D7ECD5" w14:textId="77777777" w:rsidTr="00577ED1">
        <w:trPr>
          <w:trHeight w:val="576"/>
        </w:trPr>
        <w:tc>
          <w:tcPr>
            <w:tcW w:w="0" w:type="auto"/>
          </w:tcPr>
          <w:p w14:paraId="5BE8AF4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Gang Violence/Organized Crime</w:t>
            </w:r>
          </w:p>
        </w:tc>
        <w:tc>
          <w:tcPr>
            <w:tcW w:w="0" w:type="auto"/>
          </w:tcPr>
          <w:p w14:paraId="089A5D2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24F4EA94"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specific gangs/sets/crews or organized crime directly involved in firearm violence.</w:t>
            </w:r>
          </w:p>
        </w:tc>
      </w:tr>
      <w:tr w:rsidR="006F17CE" w:rsidRPr="00A54B0D" w14:paraId="562E758C" w14:textId="77777777" w:rsidTr="00577ED1">
        <w:trPr>
          <w:trHeight w:val="576"/>
        </w:trPr>
        <w:tc>
          <w:tcPr>
            <w:tcW w:w="0" w:type="auto"/>
            <w:hideMark/>
          </w:tcPr>
          <w:p w14:paraId="10A582A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Individual or Groups of Policymakers</w:t>
            </w:r>
          </w:p>
        </w:tc>
        <w:tc>
          <w:tcPr>
            <w:tcW w:w="0" w:type="auto"/>
            <w:hideMark/>
          </w:tcPr>
          <w:p w14:paraId="3891B08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482F35C4"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w:t>
            </w:r>
            <w:proofErr w:type="gramStart"/>
            <w:r w:rsidRPr="00A54B0D">
              <w:rPr>
                <w:rFonts w:ascii="Times New Roman" w:hAnsi="Times New Roman" w:cs="Times New Roman"/>
                <w:sz w:val="24"/>
                <w:szCs w:val="24"/>
              </w:rPr>
              <w:t>policymaker(s)</w:t>
            </w:r>
            <w:proofErr w:type="gramEnd"/>
            <w:r w:rsidRPr="00A54B0D">
              <w:rPr>
                <w:rFonts w:ascii="Times New Roman" w:hAnsi="Times New Roman" w:cs="Times New Roman"/>
                <w:sz w:val="24"/>
                <w:szCs w:val="24"/>
              </w:rPr>
              <w:t xml:space="preserve"> for their actions </w:t>
            </w:r>
            <w:r w:rsidRPr="00A54B0D">
              <w:rPr>
                <w:rFonts w:ascii="Times New Roman" w:hAnsi="Times New Roman" w:cs="Times New Roman"/>
                <w:sz w:val="24"/>
                <w:szCs w:val="24"/>
              </w:rPr>
              <w:lastRenderedPageBreak/>
              <w:t>or inactions contributing to firearm violence.</w:t>
            </w:r>
          </w:p>
        </w:tc>
      </w:tr>
      <w:tr w:rsidR="006F17CE" w:rsidRPr="00A54B0D" w14:paraId="708DE489" w14:textId="77777777" w:rsidTr="00577ED1">
        <w:trPr>
          <w:trHeight w:val="576"/>
        </w:trPr>
        <w:tc>
          <w:tcPr>
            <w:tcW w:w="0" w:type="auto"/>
            <w:hideMark/>
          </w:tcPr>
          <w:p w14:paraId="4F60516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Victim Blaming</w:t>
            </w:r>
          </w:p>
        </w:tc>
        <w:tc>
          <w:tcPr>
            <w:tcW w:w="0" w:type="auto"/>
            <w:hideMark/>
          </w:tcPr>
          <w:p w14:paraId="3D20AD1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299C69A7"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a victim of firearm violence for their involvement in activities that exposed them to firearm violence. These could include involvement in criminal activities or substance use disorder. </w:t>
            </w:r>
          </w:p>
        </w:tc>
      </w:tr>
      <w:tr w:rsidR="006F17CE" w:rsidRPr="00A54B0D" w14:paraId="41D8C541" w14:textId="77777777" w:rsidTr="00577ED1">
        <w:trPr>
          <w:trHeight w:val="576"/>
        </w:trPr>
        <w:tc>
          <w:tcPr>
            <w:tcW w:w="0" w:type="auto"/>
            <w:hideMark/>
          </w:tcPr>
          <w:p w14:paraId="0E8556CE"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Substance Use</w:t>
            </w:r>
          </w:p>
        </w:tc>
        <w:tc>
          <w:tcPr>
            <w:tcW w:w="0" w:type="auto"/>
            <w:hideMark/>
          </w:tcPr>
          <w:p w14:paraId="2C5FDA3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7442CDA9"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substance use/and or involvement in the sale, distribution, or abuse of illicit substances.</w:t>
            </w:r>
          </w:p>
        </w:tc>
      </w:tr>
      <w:tr w:rsidR="006F17CE" w:rsidRPr="00A54B0D" w14:paraId="4DFEC4A6" w14:textId="77777777" w:rsidTr="00577ED1">
        <w:trPr>
          <w:trHeight w:val="864"/>
        </w:trPr>
        <w:tc>
          <w:tcPr>
            <w:tcW w:w="0" w:type="auto"/>
            <w:hideMark/>
          </w:tcPr>
          <w:p w14:paraId="3414280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Firearm Industry and Commercial Practices</w:t>
            </w:r>
          </w:p>
        </w:tc>
        <w:tc>
          <w:tcPr>
            <w:tcW w:w="0" w:type="auto"/>
            <w:hideMark/>
          </w:tcPr>
          <w:p w14:paraId="044F7C9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786B789B"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the firearm industry as a commercial determinant of health – specifically around the enterprising and business of firearm manufacturing and sale.</w:t>
            </w:r>
          </w:p>
        </w:tc>
      </w:tr>
      <w:tr w:rsidR="006F17CE" w:rsidRPr="00A54B0D" w14:paraId="6A4DDDC9" w14:textId="77777777" w:rsidTr="00577ED1">
        <w:trPr>
          <w:trHeight w:val="288"/>
        </w:trPr>
        <w:tc>
          <w:tcPr>
            <w:tcW w:w="0" w:type="auto"/>
            <w:hideMark/>
          </w:tcPr>
          <w:p w14:paraId="41CAF55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U.S. Firearm Culture</w:t>
            </w:r>
          </w:p>
        </w:tc>
        <w:tc>
          <w:tcPr>
            <w:tcW w:w="0" w:type="auto"/>
            <w:hideMark/>
          </w:tcPr>
          <w:p w14:paraId="2232C6B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10FD8E6E"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attributed to culturally held beliefs around firearms, often specific to the United States.</w:t>
            </w:r>
          </w:p>
        </w:tc>
      </w:tr>
      <w:tr w:rsidR="006F17CE" w:rsidRPr="00A54B0D" w14:paraId="0473FA10" w14:textId="77777777" w:rsidTr="00577ED1">
        <w:trPr>
          <w:trHeight w:val="584"/>
        </w:trPr>
        <w:tc>
          <w:tcPr>
            <w:tcW w:w="0" w:type="auto"/>
            <w:hideMark/>
          </w:tcPr>
          <w:p w14:paraId="4842615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Firearm Lobby</w:t>
            </w:r>
          </w:p>
        </w:tc>
        <w:tc>
          <w:tcPr>
            <w:tcW w:w="0" w:type="auto"/>
            <w:hideMark/>
          </w:tcPr>
          <w:p w14:paraId="359CB04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572368B0" w14:textId="77777777" w:rsidR="006F17CE" w:rsidRPr="00A54B0D" w:rsidRDefault="006F17CE" w:rsidP="00577ED1">
            <w:pPr>
              <w:rPr>
                <w:rFonts w:ascii="Times New Roman" w:hAnsi="Times New Roman" w:cs="Times New Roman"/>
                <w:sz w:val="24"/>
                <w:szCs w:val="24"/>
              </w:rPr>
            </w:pPr>
            <w:r>
              <w:rPr>
                <w:rFonts w:ascii="Times New Roman" w:hAnsi="Times New Roman" w:cs="Times New Roman"/>
                <w:sz w:val="24"/>
                <w:szCs w:val="24"/>
              </w:rPr>
              <w:t>Causal blame</w:t>
            </w:r>
            <w:r w:rsidRPr="00A54B0D">
              <w:rPr>
                <w:rFonts w:ascii="Times New Roman" w:hAnsi="Times New Roman" w:cs="Times New Roman"/>
                <w:sz w:val="24"/>
                <w:szCs w:val="24"/>
              </w:rPr>
              <w:t xml:space="preserve"> is attributed to the firearm lobby. For example, the influence of the National Rifle Association or Gun Owners of America.</w:t>
            </w:r>
          </w:p>
        </w:tc>
      </w:tr>
      <w:tr w:rsidR="006F17CE" w:rsidRPr="00A54B0D" w14:paraId="096FEBE7" w14:textId="77777777" w:rsidTr="00577ED1">
        <w:trPr>
          <w:trHeight w:val="576"/>
        </w:trPr>
        <w:tc>
          <w:tcPr>
            <w:tcW w:w="0" w:type="auto"/>
            <w:hideMark/>
          </w:tcPr>
          <w:p w14:paraId="704CEE4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A Specific Political Party or Affiliation</w:t>
            </w:r>
          </w:p>
        </w:tc>
        <w:tc>
          <w:tcPr>
            <w:tcW w:w="0" w:type="auto"/>
            <w:hideMark/>
          </w:tcPr>
          <w:p w14:paraId="525E426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52577C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Direct or implied </w:t>
            </w:r>
            <w:r>
              <w:rPr>
                <w:rFonts w:ascii="Times New Roman" w:hAnsi="Times New Roman" w:cs="Times New Roman"/>
                <w:sz w:val="24"/>
                <w:szCs w:val="24"/>
              </w:rPr>
              <w:t>causal blame</w:t>
            </w:r>
            <w:r w:rsidRPr="00A54B0D">
              <w:rPr>
                <w:rFonts w:ascii="Times New Roman" w:hAnsi="Times New Roman" w:cs="Times New Roman"/>
                <w:sz w:val="24"/>
                <w:szCs w:val="24"/>
              </w:rPr>
              <w:t xml:space="preserve"> </w:t>
            </w:r>
            <w:proofErr w:type="gramStart"/>
            <w:r w:rsidRPr="00A54B0D">
              <w:rPr>
                <w:rFonts w:ascii="Times New Roman" w:hAnsi="Times New Roman" w:cs="Times New Roman"/>
                <w:sz w:val="24"/>
                <w:szCs w:val="24"/>
              </w:rPr>
              <w:t>attributed</w:t>
            </w:r>
            <w:proofErr w:type="gramEnd"/>
            <w:r w:rsidRPr="00A54B0D">
              <w:rPr>
                <w:rFonts w:ascii="Times New Roman" w:hAnsi="Times New Roman" w:cs="Times New Roman"/>
                <w:sz w:val="24"/>
                <w:szCs w:val="24"/>
              </w:rPr>
              <w:t xml:space="preserve"> to a particular political party for both action or inaction towards addressing or contributing to firearm violence.</w:t>
            </w:r>
          </w:p>
        </w:tc>
      </w:tr>
      <w:tr w:rsidR="006F17CE" w:rsidRPr="00A54B0D" w14:paraId="171ADB37" w14:textId="77777777" w:rsidTr="00577ED1">
        <w:trPr>
          <w:trHeight w:val="576"/>
        </w:trPr>
        <w:tc>
          <w:tcPr>
            <w:tcW w:w="0" w:type="auto"/>
          </w:tcPr>
          <w:p w14:paraId="25B9A6A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Other </w:t>
            </w:r>
            <w:r>
              <w:rPr>
                <w:rFonts w:ascii="Times New Roman" w:hAnsi="Times New Roman" w:cs="Times New Roman"/>
                <w:sz w:val="24"/>
                <w:szCs w:val="24"/>
              </w:rPr>
              <w:t>Causal blame</w:t>
            </w:r>
          </w:p>
        </w:tc>
        <w:tc>
          <w:tcPr>
            <w:tcW w:w="0" w:type="auto"/>
          </w:tcPr>
          <w:p w14:paraId="5E3B352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2073D764" w14:textId="77777777" w:rsidR="006F17CE" w:rsidRPr="00A54B0D" w:rsidRDefault="006F17CE" w:rsidP="00577ED1">
            <w:pPr>
              <w:rPr>
                <w:rFonts w:ascii="Times New Roman" w:hAnsi="Times New Roman" w:cs="Times New Roman"/>
                <w:sz w:val="24"/>
                <w:szCs w:val="24"/>
              </w:rPr>
            </w:pPr>
          </w:p>
        </w:tc>
      </w:tr>
      <w:tr w:rsidR="006F17CE" w:rsidRPr="00A54B0D" w14:paraId="012500C4" w14:textId="77777777" w:rsidTr="00577ED1">
        <w:trPr>
          <w:trHeight w:val="576"/>
        </w:trPr>
        <w:tc>
          <w:tcPr>
            <w:tcW w:w="0" w:type="auto"/>
          </w:tcPr>
          <w:p w14:paraId="7C58962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No </w:t>
            </w:r>
            <w:r>
              <w:rPr>
                <w:rFonts w:ascii="Times New Roman" w:hAnsi="Times New Roman" w:cs="Times New Roman"/>
                <w:sz w:val="24"/>
                <w:szCs w:val="24"/>
              </w:rPr>
              <w:t>causal blame</w:t>
            </w:r>
            <w:r w:rsidRPr="00A54B0D">
              <w:rPr>
                <w:rFonts w:ascii="Times New Roman" w:hAnsi="Times New Roman" w:cs="Times New Roman"/>
                <w:sz w:val="24"/>
                <w:szCs w:val="24"/>
              </w:rPr>
              <w:t xml:space="preserve"> discussed/not applicable</w:t>
            </w:r>
          </w:p>
        </w:tc>
        <w:tc>
          <w:tcPr>
            <w:tcW w:w="0" w:type="auto"/>
          </w:tcPr>
          <w:p w14:paraId="6D8674AB"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5A36BE07" w14:textId="77777777" w:rsidR="006F17CE" w:rsidRPr="00A54B0D" w:rsidRDefault="006F17CE" w:rsidP="00577ED1">
            <w:pPr>
              <w:rPr>
                <w:rFonts w:ascii="Times New Roman" w:hAnsi="Times New Roman" w:cs="Times New Roman"/>
                <w:sz w:val="24"/>
                <w:szCs w:val="24"/>
              </w:rPr>
            </w:pPr>
          </w:p>
        </w:tc>
      </w:tr>
      <w:tr w:rsidR="006F17CE" w:rsidRPr="00A54B0D" w14:paraId="70450214" w14:textId="77777777" w:rsidTr="00577ED1">
        <w:trPr>
          <w:trHeight w:val="288"/>
        </w:trPr>
        <w:tc>
          <w:tcPr>
            <w:tcW w:w="0" w:type="auto"/>
            <w:gridSpan w:val="3"/>
            <w:hideMark/>
          </w:tcPr>
          <w:p w14:paraId="039B1A1A"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t>Consequences</w:t>
            </w:r>
          </w:p>
        </w:tc>
      </w:tr>
      <w:tr w:rsidR="006F17CE" w:rsidRPr="00A54B0D" w14:paraId="69F73B07" w14:textId="77777777" w:rsidTr="00577ED1">
        <w:trPr>
          <w:trHeight w:val="576"/>
        </w:trPr>
        <w:tc>
          <w:tcPr>
            <w:tcW w:w="0" w:type="auto"/>
            <w:hideMark/>
          </w:tcPr>
          <w:p w14:paraId="226DAC2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Economic/Financial</w:t>
            </w:r>
          </w:p>
        </w:tc>
        <w:tc>
          <w:tcPr>
            <w:tcW w:w="0" w:type="auto"/>
            <w:hideMark/>
          </w:tcPr>
          <w:p w14:paraId="64729B4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1BBAD7D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Relates to the costs, benefits, or monetary/financial implications of firearm violence. It can refer to the economic impact firearm violence has on an individual, </w:t>
            </w:r>
            <w:r w:rsidRPr="00A54B0D">
              <w:rPr>
                <w:rFonts w:ascii="Times New Roman" w:hAnsi="Times New Roman" w:cs="Times New Roman"/>
                <w:sz w:val="24"/>
                <w:szCs w:val="24"/>
              </w:rPr>
              <w:lastRenderedPageBreak/>
              <w:t xml:space="preserve">family, community, or to the </w:t>
            </w:r>
            <w:proofErr w:type="gramStart"/>
            <w:r w:rsidRPr="00A54B0D">
              <w:rPr>
                <w:rFonts w:ascii="Times New Roman" w:hAnsi="Times New Roman" w:cs="Times New Roman"/>
                <w:sz w:val="24"/>
                <w:szCs w:val="24"/>
              </w:rPr>
              <w:t>economy as a whole</w:t>
            </w:r>
            <w:proofErr w:type="gramEnd"/>
            <w:r w:rsidRPr="00A54B0D">
              <w:rPr>
                <w:rFonts w:ascii="Times New Roman" w:hAnsi="Times New Roman" w:cs="Times New Roman"/>
                <w:sz w:val="24"/>
                <w:szCs w:val="24"/>
              </w:rPr>
              <w:t>.</w:t>
            </w:r>
          </w:p>
        </w:tc>
      </w:tr>
      <w:tr w:rsidR="006F17CE" w:rsidRPr="00A54B0D" w14:paraId="3B9387A4" w14:textId="77777777" w:rsidTr="00577ED1">
        <w:trPr>
          <w:trHeight w:val="576"/>
        </w:trPr>
        <w:tc>
          <w:tcPr>
            <w:tcW w:w="0" w:type="auto"/>
            <w:hideMark/>
          </w:tcPr>
          <w:p w14:paraId="4CA0794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Physical Health</w:t>
            </w:r>
          </w:p>
        </w:tc>
        <w:tc>
          <w:tcPr>
            <w:tcW w:w="0" w:type="auto"/>
            <w:hideMark/>
          </w:tcPr>
          <w:p w14:paraId="4359445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529F127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Relates to the impact on the physical health wellbeing of victims, survivors, families and communities impacted by firearm violence. References to mortality can be included in this code; however, this code should not be selected if there are mentions of specific numbers of victims/shooters. It must relate to mortality or physical disability as a direct consequence.</w:t>
            </w:r>
          </w:p>
        </w:tc>
      </w:tr>
      <w:tr w:rsidR="006F17CE" w:rsidRPr="00A54B0D" w14:paraId="72C4FA9C" w14:textId="77777777" w:rsidTr="00577ED1">
        <w:trPr>
          <w:trHeight w:val="1440"/>
        </w:trPr>
        <w:tc>
          <w:tcPr>
            <w:tcW w:w="0" w:type="auto"/>
            <w:hideMark/>
          </w:tcPr>
          <w:p w14:paraId="25C76B7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Mental Health or Illness</w:t>
            </w:r>
          </w:p>
        </w:tc>
        <w:tc>
          <w:tcPr>
            <w:tcW w:w="0" w:type="auto"/>
            <w:hideMark/>
          </w:tcPr>
          <w:p w14:paraId="6E7228E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2C9888C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Relates to the impact on the mental health wellbeing of victims, survivors, families and communities impacted by firearm violence. The post must mention some specificity related to mental health including depression, anxiety, PTSD, oppositional defiant disorder, conduct disorder, ADHD, or trauma-response. </w:t>
            </w:r>
          </w:p>
        </w:tc>
      </w:tr>
      <w:tr w:rsidR="006F17CE" w:rsidRPr="00A54B0D" w14:paraId="7CEB0B44" w14:textId="77777777" w:rsidTr="00577ED1">
        <w:trPr>
          <w:trHeight w:val="864"/>
        </w:trPr>
        <w:tc>
          <w:tcPr>
            <w:tcW w:w="0" w:type="auto"/>
            <w:hideMark/>
          </w:tcPr>
          <w:p w14:paraId="09CF203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Cycles of Violence</w:t>
            </w:r>
          </w:p>
        </w:tc>
        <w:tc>
          <w:tcPr>
            <w:tcW w:w="0" w:type="auto"/>
            <w:hideMark/>
          </w:tcPr>
          <w:p w14:paraId="6A13CD6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14BB9FB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Relates to the perpetuation of cycles of violence acknowledging and understanding of propagation of violence </w:t>
            </w:r>
            <w:proofErr w:type="gramStart"/>
            <w:r w:rsidRPr="00A54B0D">
              <w:rPr>
                <w:rFonts w:ascii="Times New Roman" w:hAnsi="Times New Roman" w:cs="Times New Roman"/>
                <w:sz w:val="24"/>
                <w:szCs w:val="24"/>
              </w:rPr>
              <w:t>as a result of</w:t>
            </w:r>
            <w:proofErr w:type="gramEnd"/>
            <w:r w:rsidRPr="00A54B0D">
              <w:rPr>
                <w:rFonts w:ascii="Times New Roman" w:hAnsi="Times New Roman" w:cs="Times New Roman"/>
                <w:sz w:val="24"/>
                <w:szCs w:val="24"/>
              </w:rPr>
              <w:t xml:space="preserve"> a violent event.</w:t>
            </w:r>
          </w:p>
        </w:tc>
      </w:tr>
      <w:tr w:rsidR="006F17CE" w:rsidRPr="00A54B0D" w14:paraId="5C8CC83C" w14:textId="77777777" w:rsidTr="00577ED1">
        <w:trPr>
          <w:trHeight w:val="864"/>
        </w:trPr>
        <w:tc>
          <w:tcPr>
            <w:tcW w:w="0" w:type="auto"/>
            <w:hideMark/>
          </w:tcPr>
          <w:p w14:paraId="601C1D19"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Secondary Trauma/Co-Victim</w:t>
            </w:r>
          </w:p>
        </w:tc>
        <w:tc>
          <w:tcPr>
            <w:tcW w:w="0" w:type="auto"/>
            <w:hideMark/>
          </w:tcPr>
          <w:p w14:paraId="3195296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42629F79"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Relates to the secondary trauma or health impacts on family members, caregivers, friends, or community </w:t>
            </w:r>
            <w:proofErr w:type="gramStart"/>
            <w:r w:rsidRPr="00A54B0D">
              <w:rPr>
                <w:rFonts w:ascii="Times New Roman" w:hAnsi="Times New Roman" w:cs="Times New Roman"/>
                <w:sz w:val="24"/>
                <w:szCs w:val="24"/>
              </w:rPr>
              <w:t>members  of</w:t>
            </w:r>
            <w:proofErr w:type="gramEnd"/>
            <w:r w:rsidRPr="00A54B0D">
              <w:rPr>
                <w:rFonts w:ascii="Times New Roman" w:hAnsi="Times New Roman" w:cs="Times New Roman"/>
                <w:sz w:val="24"/>
                <w:szCs w:val="24"/>
              </w:rPr>
              <w:t xml:space="preserve"> direct firearm violence survivors or victims.</w:t>
            </w:r>
          </w:p>
        </w:tc>
      </w:tr>
      <w:tr w:rsidR="006F17CE" w:rsidRPr="00A54B0D" w14:paraId="72AA27BC" w14:textId="77777777" w:rsidTr="00577ED1">
        <w:trPr>
          <w:trHeight w:val="864"/>
        </w:trPr>
        <w:tc>
          <w:tcPr>
            <w:tcW w:w="0" w:type="auto"/>
            <w:hideMark/>
          </w:tcPr>
          <w:p w14:paraId="1FEA997D"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Well-Being</w:t>
            </w:r>
          </w:p>
        </w:tc>
        <w:tc>
          <w:tcPr>
            <w:tcW w:w="0" w:type="auto"/>
            <w:hideMark/>
          </w:tcPr>
          <w:p w14:paraId="060F154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BAFCF2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Relates to the effects of a policy on individuals’ wealth, mobility, access to resources, happiness, social structures, ease of day-to-day routines, or quality of community life.</w:t>
            </w:r>
          </w:p>
        </w:tc>
      </w:tr>
      <w:tr w:rsidR="006F17CE" w:rsidRPr="00A54B0D" w14:paraId="6A2FFD3F" w14:textId="77777777" w:rsidTr="00577ED1">
        <w:trPr>
          <w:trHeight w:val="864"/>
        </w:trPr>
        <w:tc>
          <w:tcPr>
            <w:tcW w:w="0" w:type="auto"/>
          </w:tcPr>
          <w:p w14:paraId="04C3561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Other</w:t>
            </w:r>
          </w:p>
        </w:tc>
        <w:tc>
          <w:tcPr>
            <w:tcW w:w="0" w:type="auto"/>
          </w:tcPr>
          <w:p w14:paraId="54C9FDA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6413E473" w14:textId="77777777" w:rsidR="006F17CE" w:rsidRPr="00A54B0D" w:rsidRDefault="006F17CE" w:rsidP="00577ED1">
            <w:pPr>
              <w:rPr>
                <w:rFonts w:ascii="Times New Roman" w:hAnsi="Times New Roman" w:cs="Times New Roman"/>
                <w:sz w:val="24"/>
                <w:szCs w:val="24"/>
              </w:rPr>
            </w:pPr>
          </w:p>
        </w:tc>
      </w:tr>
      <w:tr w:rsidR="006F17CE" w:rsidRPr="00A54B0D" w14:paraId="53DEFF48" w14:textId="77777777" w:rsidTr="00577ED1">
        <w:trPr>
          <w:trHeight w:val="288"/>
        </w:trPr>
        <w:tc>
          <w:tcPr>
            <w:tcW w:w="0" w:type="auto"/>
            <w:gridSpan w:val="3"/>
            <w:hideMark/>
          </w:tcPr>
          <w:p w14:paraId="4E134230" w14:textId="77777777" w:rsidR="006F17CE" w:rsidRPr="00A54B0D" w:rsidRDefault="006F17CE" w:rsidP="00577ED1">
            <w:pPr>
              <w:rPr>
                <w:rFonts w:ascii="Times New Roman" w:hAnsi="Times New Roman" w:cs="Times New Roman"/>
                <w:b/>
                <w:bCs/>
                <w:sz w:val="24"/>
                <w:szCs w:val="24"/>
              </w:rPr>
            </w:pPr>
            <w:r w:rsidRPr="00A54B0D">
              <w:rPr>
                <w:rFonts w:ascii="Times New Roman" w:hAnsi="Times New Roman" w:cs="Times New Roman"/>
                <w:b/>
                <w:bCs/>
                <w:sz w:val="24"/>
                <w:szCs w:val="24"/>
              </w:rPr>
              <w:t>Policies Mentioned</w:t>
            </w:r>
          </w:p>
        </w:tc>
      </w:tr>
      <w:tr w:rsidR="006F17CE" w:rsidRPr="00A54B0D" w14:paraId="36A3E125" w14:textId="77777777" w:rsidTr="00577ED1">
        <w:trPr>
          <w:trHeight w:val="864"/>
        </w:trPr>
        <w:tc>
          <w:tcPr>
            <w:tcW w:w="0" w:type="auto"/>
            <w:hideMark/>
          </w:tcPr>
          <w:p w14:paraId="2CF450D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Generic or Nonspecific Policies</w:t>
            </w:r>
          </w:p>
        </w:tc>
        <w:tc>
          <w:tcPr>
            <w:tcW w:w="0" w:type="auto"/>
            <w:hideMark/>
          </w:tcPr>
          <w:p w14:paraId="33CD055E"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5B53BDC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Uses vague language such as laws/programs/initiatives/reforms as solutions to firearm violence. Post does not provide a description of the policy entail.</w:t>
            </w:r>
          </w:p>
        </w:tc>
      </w:tr>
      <w:tr w:rsidR="006F17CE" w:rsidRPr="00A54B0D" w14:paraId="2B682E40" w14:textId="77777777" w:rsidTr="00577ED1">
        <w:trPr>
          <w:trHeight w:val="576"/>
        </w:trPr>
        <w:tc>
          <w:tcPr>
            <w:tcW w:w="0" w:type="auto"/>
            <w:hideMark/>
          </w:tcPr>
          <w:p w14:paraId="4801133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Restrictive Firearm Ownership Policies</w:t>
            </w:r>
          </w:p>
        </w:tc>
        <w:tc>
          <w:tcPr>
            <w:tcW w:w="0" w:type="auto"/>
            <w:hideMark/>
          </w:tcPr>
          <w:p w14:paraId="6C4B2FD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1B767B6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to policies that restrict the ownership of firearms.</w:t>
            </w:r>
          </w:p>
        </w:tc>
      </w:tr>
      <w:tr w:rsidR="006F17CE" w:rsidRPr="00A54B0D" w14:paraId="584D6FC4" w14:textId="77777777" w:rsidTr="00577ED1">
        <w:trPr>
          <w:trHeight w:val="576"/>
        </w:trPr>
        <w:tc>
          <w:tcPr>
            <w:tcW w:w="0" w:type="auto"/>
            <w:hideMark/>
          </w:tcPr>
          <w:p w14:paraId="56C32A4F"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Permissive Firearm Ownership Policies</w:t>
            </w:r>
          </w:p>
        </w:tc>
        <w:tc>
          <w:tcPr>
            <w:tcW w:w="0" w:type="auto"/>
            <w:hideMark/>
          </w:tcPr>
          <w:p w14:paraId="183B097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2BE7023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to policies that permit the ownership of firearms.</w:t>
            </w:r>
          </w:p>
        </w:tc>
      </w:tr>
      <w:tr w:rsidR="006F17CE" w:rsidRPr="00A54B0D" w14:paraId="072486FD" w14:textId="77777777" w:rsidTr="00577ED1">
        <w:trPr>
          <w:trHeight w:val="576"/>
        </w:trPr>
        <w:tc>
          <w:tcPr>
            <w:tcW w:w="0" w:type="auto"/>
            <w:hideMark/>
          </w:tcPr>
          <w:p w14:paraId="2DC5A65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Funding or support for Community-Based Violence Intervention Programs (CVIP)/Hospital-Based Violence Intervention Programs (HVIP)</w:t>
            </w:r>
          </w:p>
        </w:tc>
        <w:tc>
          <w:tcPr>
            <w:tcW w:w="0" w:type="auto"/>
            <w:hideMark/>
          </w:tcPr>
          <w:p w14:paraId="128B4647"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0413D02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to both funding for programs, capacity building, implementation.</w:t>
            </w:r>
          </w:p>
        </w:tc>
      </w:tr>
      <w:tr w:rsidR="006F17CE" w:rsidRPr="00A54B0D" w14:paraId="445A2751" w14:textId="77777777" w:rsidTr="00577ED1">
        <w:trPr>
          <w:trHeight w:val="576"/>
        </w:trPr>
        <w:tc>
          <w:tcPr>
            <w:tcW w:w="0" w:type="auto"/>
            <w:hideMark/>
          </w:tcPr>
          <w:p w14:paraId="1F5B5B33"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Funding or support for Firearm Research</w:t>
            </w:r>
          </w:p>
        </w:tc>
        <w:tc>
          <w:tcPr>
            <w:tcW w:w="0" w:type="auto"/>
            <w:hideMark/>
          </w:tcPr>
          <w:p w14:paraId="0EC66B5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6D111B88"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specifically to research.</w:t>
            </w:r>
          </w:p>
        </w:tc>
      </w:tr>
      <w:tr w:rsidR="006F17CE" w:rsidRPr="00A54B0D" w14:paraId="0668C095" w14:textId="77777777" w:rsidTr="00577ED1">
        <w:trPr>
          <w:trHeight w:val="864"/>
        </w:trPr>
        <w:tc>
          <w:tcPr>
            <w:tcW w:w="0" w:type="auto"/>
            <w:hideMark/>
          </w:tcPr>
          <w:p w14:paraId="51A3327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 xml:space="preserve">Funding or policies that support </w:t>
            </w:r>
            <w:proofErr w:type="gramStart"/>
            <w:r w:rsidRPr="00A54B0D">
              <w:rPr>
                <w:rFonts w:ascii="Times New Roman" w:hAnsi="Times New Roman" w:cs="Times New Roman"/>
                <w:sz w:val="24"/>
                <w:szCs w:val="24"/>
              </w:rPr>
              <w:t>Substance Use Disorder</w:t>
            </w:r>
            <w:proofErr w:type="gramEnd"/>
          </w:p>
        </w:tc>
        <w:tc>
          <w:tcPr>
            <w:tcW w:w="0" w:type="auto"/>
            <w:hideMark/>
          </w:tcPr>
          <w:p w14:paraId="7CD378C9"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57CD9F6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Should refer to substance use disorder prevention and/or treatment.</w:t>
            </w:r>
          </w:p>
        </w:tc>
      </w:tr>
      <w:tr w:rsidR="006F17CE" w:rsidRPr="00A54B0D" w14:paraId="52B70BC4" w14:textId="77777777" w:rsidTr="00577ED1">
        <w:trPr>
          <w:trHeight w:val="602"/>
        </w:trPr>
        <w:tc>
          <w:tcPr>
            <w:tcW w:w="0" w:type="auto"/>
            <w:hideMark/>
          </w:tcPr>
          <w:p w14:paraId="7BB0D444"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Policies that hold the firearm industry accountable</w:t>
            </w:r>
          </w:p>
        </w:tc>
        <w:tc>
          <w:tcPr>
            <w:tcW w:w="0" w:type="auto"/>
            <w:hideMark/>
          </w:tcPr>
          <w:p w14:paraId="49CC212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371F9C2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For example, pursuing litigation against firearm manufacturers for unfair, unjust, or deceitful practices.</w:t>
            </w:r>
          </w:p>
        </w:tc>
      </w:tr>
      <w:tr w:rsidR="006F17CE" w:rsidRPr="00A54B0D" w14:paraId="0348CD09" w14:textId="77777777" w:rsidTr="00577ED1">
        <w:trPr>
          <w:trHeight w:val="899"/>
        </w:trPr>
        <w:tc>
          <w:tcPr>
            <w:tcW w:w="0" w:type="auto"/>
            <w:hideMark/>
          </w:tcPr>
          <w:p w14:paraId="534B387E"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Increased funding for protective policies for law enforcement or the criminal justice system</w:t>
            </w:r>
          </w:p>
        </w:tc>
        <w:tc>
          <w:tcPr>
            <w:tcW w:w="0" w:type="auto"/>
            <w:hideMark/>
          </w:tcPr>
          <w:p w14:paraId="07C30EE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611F27D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to increased policing or carceral policies.</w:t>
            </w:r>
          </w:p>
        </w:tc>
      </w:tr>
      <w:tr w:rsidR="006F17CE" w:rsidRPr="00A54B0D" w14:paraId="73B7B124" w14:textId="77777777" w:rsidTr="00577ED1">
        <w:trPr>
          <w:trHeight w:val="864"/>
        </w:trPr>
        <w:tc>
          <w:tcPr>
            <w:tcW w:w="0" w:type="auto"/>
            <w:hideMark/>
          </w:tcPr>
          <w:p w14:paraId="1AEE88E5"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Policies that address structural determinants of violence</w:t>
            </w:r>
          </w:p>
        </w:tc>
        <w:tc>
          <w:tcPr>
            <w:tcW w:w="0" w:type="auto"/>
            <w:hideMark/>
          </w:tcPr>
          <w:p w14:paraId="4C067CA1"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hideMark/>
          </w:tcPr>
          <w:p w14:paraId="2FE8094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to structural determinants of violence such as lack of education, lack of secure housing, and poverty</w:t>
            </w:r>
          </w:p>
        </w:tc>
      </w:tr>
      <w:tr w:rsidR="006F17CE" w:rsidRPr="00A54B0D" w14:paraId="447BB21F" w14:textId="77777777" w:rsidTr="00577ED1">
        <w:trPr>
          <w:trHeight w:val="864"/>
        </w:trPr>
        <w:tc>
          <w:tcPr>
            <w:tcW w:w="0" w:type="auto"/>
          </w:tcPr>
          <w:p w14:paraId="6913AA90"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Policies that hold the firearm lobby accountable</w:t>
            </w:r>
          </w:p>
        </w:tc>
        <w:tc>
          <w:tcPr>
            <w:tcW w:w="0" w:type="auto"/>
          </w:tcPr>
          <w:p w14:paraId="32833326"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Binary Categorical (Y/N)</w:t>
            </w:r>
          </w:p>
        </w:tc>
        <w:tc>
          <w:tcPr>
            <w:tcW w:w="0" w:type="auto"/>
          </w:tcPr>
          <w:p w14:paraId="6E4E14A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Refers to addressing misinformation or lack of evidence-based measures perpetuated by the firearm industry</w:t>
            </w:r>
          </w:p>
        </w:tc>
      </w:tr>
      <w:tr w:rsidR="006F17CE" w:rsidRPr="00A54B0D" w14:paraId="088FC284" w14:textId="77777777" w:rsidTr="00577ED1">
        <w:trPr>
          <w:trHeight w:val="864"/>
        </w:trPr>
        <w:tc>
          <w:tcPr>
            <w:tcW w:w="0" w:type="auto"/>
          </w:tcPr>
          <w:p w14:paraId="586D2C8C"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lastRenderedPageBreak/>
              <w:t>Notes</w:t>
            </w:r>
          </w:p>
        </w:tc>
        <w:tc>
          <w:tcPr>
            <w:tcW w:w="0" w:type="auto"/>
          </w:tcPr>
          <w:p w14:paraId="6F52D62A"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Free text</w:t>
            </w:r>
          </w:p>
        </w:tc>
        <w:tc>
          <w:tcPr>
            <w:tcW w:w="0" w:type="auto"/>
          </w:tcPr>
          <w:p w14:paraId="57EF0B42" w14:textId="77777777" w:rsidR="006F17CE" w:rsidRPr="00A54B0D" w:rsidRDefault="006F17CE" w:rsidP="00577ED1">
            <w:pPr>
              <w:rPr>
                <w:rFonts w:ascii="Times New Roman" w:hAnsi="Times New Roman" w:cs="Times New Roman"/>
                <w:sz w:val="24"/>
                <w:szCs w:val="24"/>
              </w:rPr>
            </w:pPr>
            <w:r w:rsidRPr="00A54B0D">
              <w:rPr>
                <w:rFonts w:ascii="Times New Roman" w:hAnsi="Times New Roman" w:cs="Times New Roman"/>
                <w:sz w:val="24"/>
                <w:szCs w:val="24"/>
              </w:rPr>
              <w:t>Coder should include notes about post. Can refer to questions about the post, assistance with codes, etc.</w:t>
            </w:r>
          </w:p>
        </w:tc>
      </w:tr>
    </w:tbl>
    <w:p w14:paraId="0A600DE1" w14:textId="77777777" w:rsidR="006F17CE" w:rsidRDefault="006F17CE"/>
    <w:sectPr w:rsidR="006F17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E36AC"/>
    <w:multiLevelType w:val="hybridMultilevel"/>
    <w:tmpl w:val="B7E4540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D2209"/>
    <w:multiLevelType w:val="hybridMultilevel"/>
    <w:tmpl w:val="D4A8CCA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497DFC"/>
    <w:multiLevelType w:val="hybridMultilevel"/>
    <w:tmpl w:val="DDE8C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5314E3"/>
    <w:multiLevelType w:val="hybridMultilevel"/>
    <w:tmpl w:val="17D80DF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413A2"/>
    <w:multiLevelType w:val="hybridMultilevel"/>
    <w:tmpl w:val="0FF699E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D614AA"/>
    <w:multiLevelType w:val="hybridMultilevel"/>
    <w:tmpl w:val="0FF699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8FC50C1"/>
    <w:multiLevelType w:val="hybridMultilevel"/>
    <w:tmpl w:val="B7E454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331E31"/>
    <w:multiLevelType w:val="hybridMultilevel"/>
    <w:tmpl w:val="DDE8C3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1114773">
    <w:abstractNumId w:val="2"/>
  </w:num>
  <w:num w:numId="2" w16cid:durableId="97995832">
    <w:abstractNumId w:val="7"/>
  </w:num>
  <w:num w:numId="3" w16cid:durableId="1308316638">
    <w:abstractNumId w:val="3"/>
  </w:num>
  <w:num w:numId="4" w16cid:durableId="1002858182">
    <w:abstractNumId w:val="0"/>
  </w:num>
  <w:num w:numId="5" w16cid:durableId="1322923466">
    <w:abstractNumId w:val="6"/>
  </w:num>
  <w:num w:numId="6" w16cid:durableId="166478108">
    <w:abstractNumId w:val="1"/>
  </w:num>
  <w:num w:numId="7" w16cid:durableId="1541165663">
    <w:abstractNumId w:val="4"/>
  </w:num>
  <w:num w:numId="8" w16cid:durableId="16110111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7CE"/>
    <w:rsid w:val="001279F5"/>
    <w:rsid w:val="00181D71"/>
    <w:rsid w:val="006F1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45C5E"/>
  <w15:chartTrackingRefBased/>
  <w15:docId w15:val="{7FCFD623-F316-4BB7-A144-0396B4D0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7CE"/>
  </w:style>
  <w:style w:type="paragraph" w:styleId="Heading1">
    <w:name w:val="heading 1"/>
    <w:basedOn w:val="Normal"/>
    <w:next w:val="Normal"/>
    <w:link w:val="Heading1Char"/>
    <w:uiPriority w:val="9"/>
    <w:qFormat/>
    <w:rsid w:val="006F17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7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7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7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7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7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7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7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7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7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7CE"/>
    <w:rPr>
      <w:rFonts w:eastAsiaTheme="majorEastAsia" w:cstheme="majorBidi"/>
      <w:color w:val="272727" w:themeColor="text1" w:themeTint="D8"/>
    </w:rPr>
  </w:style>
  <w:style w:type="paragraph" w:styleId="Title">
    <w:name w:val="Title"/>
    <w:basedOn w:val="Normal"/>
    <w:next w:val="Normal"/>
    <w:link w:val="TitleChar"/>
    <w:uiPriority w:val="10"/>
    <w:qFormat/>
    <w:rsid w:val="006F1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7CE"/>
    <w:pPr>
      <w:spacing w:before="160"/>
      <w:jc w:val="center"/>
    </w:pPr>
    <w:rPr>
      <w:i/>
      <w:iCs/>
      <w:color w:val="404040" w:themeColor="text1" w:themeTint="BF"/>
    </w:rPr>
  </w:style>
  <w:style w:type="character" w:customStyle="1" w:styleId="QuoteChar">
    <w:name w:val="Quote Char"/>
    <w:basedOn w:val="DefaultParagraphFont"/>
    <w:link w:val="Quote"/>
    <w:uiPriority w:val="29"/>
    <w:rsid w:val="006F17CE"/>
    <w:rPr>
      <w:i/>
      <w:iCs/>
      <w:color w:val="404040" w:themeColor="text1" w:themeTint="BF"/>
    </w:rPr>
  </w:style>
  <w:style w:type="paragraph" w:styleId="ListParagraph">
    <w:name w:val="List Paragraph"/>
    <w:basedOn w:val="Normal"/>
    <w:uiPriority w:val="34"/>
    <w:qFormat/>
    <w:rsid w:val="006F17CE"/>
    <w:pPr>
      <w:ind w:left="720"/>
      <w:contextualSpacing/>
    </w:pPr>
  </w:style>
  <w:style w:type="character" w:styleId="IntenseEmphasis">
    <w:name w:val="Intense Emphasis"/>
    <w:basedOn w:val="DefaultParagraphFont"/>
    <w:uiPriority w:val="21"/>
    <w:qFormat/>
    <w:rsid w:val="006F17CE"/>
    <w:rPr>
      <w:i/>
      <w:iCs/>
      <w:color w:val="2F5496" w:themeColor="accent1" w:themeShade="BF"/>
    </w:rPr>
  </w:style>
  <w:style w:type="paragraph" w:styleId="IntenseQuote">
    <w:name w:val="Intense Quote"/>
    <w:basedOn w:val="Normal"/>
    <w:next w:val="Normal"/>
    <w:link w:val="IntenseQuoteChar"/>
    <w:uiPriority w:val="30"/>
    <w:qFormat/>
    <w:rsid w:val="006F1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7CE"/>
    <w:rPr>
      <w:i/>
      <w:iCs/>
      <w:color w:val="2F5496" w:themeColor="accent1" w:themeShade="BF"/>
    </w:rPr>
  </w:style>
  <w:style w:type="character" w:styleId="IntenseReference">
    <w:name w:val="Intense Reference"/>
    <w:basedOn w:val="DefaultParagraphFont"/>
    <w:uiPriority w:val="32"/>
    <w:qFormat/>
    <w:rsid w:val="006F17CE"/>
    <w:rPr>
      <w:b/>
      <w:bCs/>
      <w:smallCaps/>
      <w:color w:val="2F5496" w:themeColor="accent1" w:themeShade="BF"/>
      <w:spacing w:val="5"/>
    </w:rPr>
  </w:style>
  <w:style w:type="table" w:styleId="TableGrid">
    <w:name w:val="Table Grid"/>
    <w:basedOn w:val="TableNormal"/>
    <w:uiPriority w:val="39"/>
    <w:rsid w:val="006F1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F17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2684</Words>
  <Characters>15301</Characters>
  <Application>Microsoft Office Word</Application>
  <DocSecurity>0</DocSecurity>
  <Lines>127</Lines>
  <Paragraphs>35</Paragraphs>
  <ScaleCrop>false</ScaleCrop>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Ashok</dc:creator>
  <cp:keywords/>
  <dc:description/>
  <cp:lastModifiedBy>Vivek Ashok</cp:lastModifiedBy>
  <cp:revision>2</cp:revision>
  <dcterms:created xsi:type="dcterms:W3CDTF">2025-07-09T17:53:00Z</dcterms:created>
  <dcterms:modified xsi:type="dcterms:W3CDTF">2025-07-09T17:53:00Z</dcterms:modified>
</cp:coreProperties>
</file>