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3C7E" w14:textId="5933B19F" w:rsidR="003850B6" w:rsidRDefault="003850B6" w:rsidP="003850B6">
      <w:pPr>
        <w:rPr>
          <w:b/>
          <w:bCs/>
        </w:rPr>
      </w:pPr>
      <w:r>
        <w:rPr>
          <w:b/>
          <w:bCs/>
        </w:rPr>
        <w:t xml:space="preserve">       </w:t>
      </w:r>
      <w:r w:rsidRPr="003850B6">
        <w:rPr>
          <w:b/>
          <w:bCs/>
        </w:rPr>
        <w:t>Interest rate Modelling using the Classic Vasicek and Hull-White approaches</w:t>
      </w:r>
    </w:p>
    <w:p w14:paraId="2B50B8A7" w14:textId="62043F3C" w:rsidR="003850B6" w:rsidRPr="003850B6" w:rsidRDefault="003850B6" w:rsidP="003850B6">
      <w:pPr>
        <w:rPr>
          <w:b/>
          <w:bCs/>
        </w:rPr>
      </w:pPr>
      <w:r>
        <w:rPr>
          <w:b/>
          <w:bCs/>
        </w:rPr>
        <w:t>Prepared by: Vivekanandhan Palani, CFA</w:t>
      </w:r>
    </w:p>
    <w:p w14:paraId="3CC78A29" w14:textId="1EC6A073" w:rsidR="003850B6" w:rsidRPr="003850B6" w:rsidRDefault="003850B6" w:rsidP="003850B6">
      <w:pPr>
        <w:rPr>
          <w:lang w:val="en-GB"/>
        </w:rPr>
      </w:pPr>
      <w:r w:rsidRPr="003850B6">
        <w:t>This project applied two short rate models; Vasicek and Hull-White, to estimate future interest rates using the last two years’ historical MIBOR overnight rates as a proxy for short rates. These rates were obtained from Financial Benchmarks India Pvt.Ltd.</w:t>
      </w:r>
    </w:p>
    <w:p w14:paraId="4E0C1F4F" w14:textId="77777777" w:rsidR="003850B6" w:rsidRPr="003850B6" w:rsidRDefault="003850B6" w:rsidP="003850B6">
      <w:pPr>
        <w:rPr>
          <w:lang w:val="en-GB"/>
        </w:rPr>
      </w:pPr>
      <w:r w:rsidRPr="003850B6">
        <w:rPr>
          <w:lang w:val="en-GB"/>
        </w:rPr>
        <w:t xml:space="preserve">The Vasicek assumes a constant mean reversion and volatility. The estimated results showed that the model produced a stable long-term interest rate forecast converging toward the long run mean of approximately 5.8%. This exhibits mean reversion overtime. </w:t>
      </w:r>
    </w:p>
    <w:p w14:paraId="421A006D" w14:textId="77777777" w:rsidR="003850B6" w:rsidRPr="003850B6" w:rsidRDefault="003850B6" w:rsidP="003850B6">
      <w:pPr>
        <w:rPr>
          <w:lang w:val="en-GB"/>
        </w:rPr>
      </w:pPr>
      <w:r w:rsidRPr="003850B6">
        <w:rPr>
          <w:lang w:val="en-GB"/>
        </w:rPr>
        <w:t xml:space="preserve"> </w:t>
      </w:r>
    </w:p>
    <w:p w14:paraId="7A8F308F" w14:textId="14B782BC" w:rsidR="003850B6" w:rsidRPr="003850B6" w:rsidRDefault="003850B6" w:rsidP="003850B6">
      <w:pPr>
        <w:rPr>
          <w:lang w:val="en-GB"/>
        </w:rPr>
      </w:pPr>
      <w:r w:rsidRPr="003850B6">
        <w:rPr>
          <w:lang w:val="en-GB"/>
        </w:rPr>
        <w:t xml:space="preserve">                               </w:t>
      </w:r>
      <w:r w:rsidRPr="003850B6">
        <w:rPr>
          <w:lang w:val="en-GB"/>
        </w:rPr>
        <w:drawing>
          <wp:inline distT="0" distB="0" distL="0" distR="0" wp14:anchorId="6DBFFCC6" wp14:editId="0A024902">
            <wp:extent cx="3680460" cy="868680"/>
            <wp:effectExtent l="0" t="0" r="0" b="7620"/>
            <wp:docPr id="17651064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6CB6B" w14:textId="77777777" w:rsidR="003850B6" w:rsidRPr="003850B6" w:rsidRDefault="003850B6" w:rsidP="003850B6">
      <w:pPr>
        <w:rPr>
          <w:lang w:val="en-GB"/>
        </w:rPr>
      </w:pPr>
      <w:r w:rsidRPr="003850B6">
        <w:rPr>
          <w:lang w:val="en-GB"/>
        </w:rPr>
        <w:t xml:space="preserve">In contrast, the Hull-White model extends the Vasicek framework by incorporating a time-dependent drift component, allowing it to better capture the dynamics of the term structure. Hence, Hull-White produces better estimates of future rates. </w:t>
      </w:r>
    </w:p>
    <w:p w14:paraId="50F6B03F" w14:textId="77777777" w:rsidR="003850B6" w:rsidRPr="003850B6" w:rsidRDefault="003850B6" w:rsidP="003850B6">
      <w:pPr>
        <w:rPr>
          <w:lang w:val="en-GB"/>
        </w:rPr>
      </w:pPr>
      <w:r w:rsidRPr="003850B6">
        <w:rPr>
          <w:lang w:val="en-GB"/>
        </w:rPr>
        <w:t xml:space="preserve">Overall, The Vasicek is simple and intuitive but the Hull-White is more appropriate for incorporating term structure modelling due to its ability to incorporate changing market conditions. </w:t>
      </w:r>
    </w:p>
    <w:p w14:paraId="22D43BB4" w14:textId="73DA5143" w:rsidR="003850B6" w:rsidRPr="003850B6" w:rsidRDefault="003850B6" w:rsidP="003850B6">
      <w:pPr>
        <w:rPr>
          <w:lang w:val="en-GB"/>
        </w:rPr>
      </w:pPr>
      <w:r w:rsidRPr="003850B6">
        <w:rPr>
          <w:lang w:val="en-GB"/>
        </w:rPr>
        <w:drawing>
          <wp:inline distT="0" distB="0" distL="0" distR="0" wp14:anchorId="79512D1D" wp14:editId="4F3D0AF6">
            <wp:extent cx="5943600" cy="2827020"/>
            <wp:effectExtent l="0" t="0" r="0" b="0"/>
            <wp:docPr id="356280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32190" w14:textId="118E3EDB" w:rsidR="003850B6" w:rsidRPr="003850B6" w:rsidRDefault="003850B6" w:rsidP="003850B6">
      <w:pPr>
        <w:rPr>
          <w:lang w:val="en-GB"/>
        </w:rPr>
      </w:pPr>
      <w:r w:rsidRPr="003850B6">
        <w:rPr>
          <w:lang w:val="en-GB"/>
        </w:rPr>
        <w:lastRenderedPageBreak/>
        <w:drawing>
          <wp:inline distT="0" distB="0" distL="0" distR="0" wp14:anchorId="3A3CB509" wp14:editId="20C06FD0">
            <wp:extent cx="5943600" cy="2964180"/>
            <wp:effectExtent l="0" t="0" r="0" b="7620"/>
            <wp:docPr id="271655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5B7D" w14:textId="0396E3A0" w:rsidR="003850B6" w:rsidRPr="003850B6" w:rsidRDefault="003850B6" w:rsidP="003850B6">
      <w:pPr>
        <w:rPr>
          <w:lang w:val="en-GB"/>
        </w:rPr>
      </w:pPr>
      <w:r w:rsidRPr="003850B6">
        <w:rPr>
          <w:lang w:val="en-GB"/>
        </w:rPr>
        <w:drawing>
          <wp:inline distT="0" distB="0" distL="0" distR="0" wp14:anchorId="45F9EBB7" wp14:editId="02B8B8D1">
            <wp:extent cx="5943600" cy="3131820"/>
            <wp:effectExtent l="0" t="0" r="0" b="0"/>
            <wp:docPr id="1807922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C019" w14:textId="77777777" w:rsidR="00402876" w:rsidRDefault="00402876"/>
    <w:sectPr w:rsidR="00402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1F"/>
    <w:rsid w:val="003850B6"/>
    <w:rsid w:val="00402876"/>
    <w:rsid w:val="004726B6"/>
    <w:rsid w:val="0067361F"/>
    <w:rsid w:val="00726CBF"/>
    <w:rsid w:val="00955431"/>
    <w:rsid w:val="009C3BF3"/>
    <w:rsid w:val="00BD3211"/>
    <w:rsid w:val="00CC54AB"/>
    <w:rsid w:val="00D5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8EEB"/>
  <w15:chartTrackingRefBased/>
  <w15:docId w15:val="{59C9B065-A265-4C1C-92F0-0FFEC8B1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948</Characters>
  <Application>Microsoft Office Word</Application>
  <DocSecurity>0</DocSecurity>
  <Lines>20</Lines>
  <Paragraphs>6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Vivekanandhan Palani</dc:creator>
  <cp:keywords/>
  <dc:description/>
  <cp:lastModifiedBy>Vivekanandhan Palani</cp:lastModifiedBy>
  <cp:revision>2</cp:revision>
  <dcterms:created xsi:type="dcterms:W3CDTF">2026-03-18T02:05:00Z</dcterms:created>
  <dcterms:modified xsi:type="dcterms:W3CDTF">2026-03-18T02:07:00Z</dcterms:modified>
</cp:coreProperties>
</file>