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1200" w:val="clear"/>
            <w:tcMar>
              <w:top w:type="dxa" w:w="700"/>
              <w:left w:type="dxa" w:w="500"/>
              <w:bottom w:type="dxa" w:w="700"/>
              <w:right w:type="dxa" w:w="500"/>
            </w:tcMar>
          </w:tcPr>
          <w:p>
            <w:pPr>
              <w:spacing w:after="100" w:before="0"/>
            </w:pPr>
            <w:r>
              <w:rPr>
                <w:rFonts w:ascii="Arial" w:cs="Arial" w:eastAsia="Arial" w:hAnsi="Arial"/>
                <w:b/>
                <w:bCs/>
                <w:color w:val="C4784A"/>
                <w:sz w:val="18"/>
                <w:szCs w:val="18"/>
              </w:rPr>
              <w:t xml:space="preserve">MARKETING STRATEGY &amp; BUSINESS CASE</w:t>
            </w:r>
          </w:p>
          <w:p>
            <w:pPr>
              <w:spacing w:after="180" w:before="0"/>
            </w:pPr>
            <w:r>
              <w:rPr>
                <w:rFonts w:ascii="Arial" w:cs="Arial" w:eastAsia="Arial" w:hAnsi="Arial"/>
                <w:b/>
                <w:bCs/>
                <w:color w:val="FFFFFF"/>
                <w:sz w:val="56"/>
                <w:szCs w:val="56"/>
              </w:rPr>
              <w:t xml:space="preserve">Ads Optimisation Agent Platform</w:t>
            </w:r>
          </w:p>
          <w:p>
            <w:pPr>
              <w:spacing w:after="240" w:before="0"/>
            </w:pPr>
            <w:r>
              <w:rPr>
                <w:rFonts w:ascii="Arial" w:cs="Arial" w:eastAsia="Arial" w:hAnsi="Arial"/>
                <w:color w:val="C4784A"/>
                <w:sz w:val="24"/>
                <w:szCs w:val="24"/>
              </w:rPr>
              <w:t xml:space="preserve">How Meta Ads and Google Ads work, what we optimise, what problems we solve, and how to sell this platform to the market</w:t>
            </w:r>
          </w:p>
          <w:p>
            <w:pPr>
              <w:spacing w:after="0" w:before="0"/>
            </w:pPr>
            <w:r>
              <w:rPr>
                <w:rFonts w:ascii="Arial" w:cs="Arial" w:eastAsia="Arial" w:hAnsi="Arial"/>
                <w:color w:val="7A4A2A"/>
                <w:sz w:val="20"/>
                <w:szCs w:val="20"/>
              </w:rPr>
              <w:t xml:space="preserve">v1.0  |  Marketing, Sales &amp; Strategy  |  Confidential</w:t>
            </w:r>
          </w:p>
        </w:tc>
      </w:tr>
    </w:tbl>
    <w:p>
      <w:pPr>
        <w:spacing w:after="0" w:before="180"/>
      </w:pPr>
      <w:r>
        <w:t xml:space="preserve"/>
      </w:r>
    </w:p>
    <w:p>
      <w:pPr>
        <w:spacing w:after="100" w:before="60" w:line="276"/>
      </w:pPr>
      <w:r>
        <w:rPr>
          <w:rFonts w:ascii="Arial" w:cs="Arial" w:eastAsia="Arial" w:hAnsi="Arial"/>
          <w:b/>
          <w:bCs/>
          <w:color w:val="1A0F0A"/>
          <w:sz w:val="26"/>
          <w:szCs w:val="26"/>
        </w:rPr>
        <w:t xml:space="preserve">Contents</w:t>
      </w:r>
    </w:p>
    <w:p>
      <w:pPr>
        <w:spacing w:after="0" w:before="60"/>
      </w:pPr>
      <w:r>
        <w:t xml:space="preserve"/>
      </w:r>
    </w:p>
    <w:p>
      <w:pPr>
        <w:spacing w:after="40" w:before="40"/>
      </w:pPr>
      <w:r>
        <w:rPr>
          <w:rFonts w:ascii="Arial" w:cs="Arial" w:eastAsia="Arial" w:hAnsi="Arial"/>
          <w:color w:val="E8622A"/>
          <w:sz w:val="22"/>
          <w:szCs w:val="22"/>
        </w:rPr>
        <w:t xml:space="preserve">1.  The Market Opportunity</w:t>
      </w:r>
    </w:p>
    <w:p>
      <w:pPr>
        <w:spacing w:after="40" w:before="40"/>
      </w:pPr>
      <w:r>
        <w:rPr>
          <w:rFonts w:ascii="Arial" w:cs="Arial" w:eastAsia="Arial" w:hAnsi="Arial"/>
          <w:color w:val="E8622A"/>
          <w:sz w:val="22"/>
          <w:szCs w:val="22"/>
        </w:rPr>
        <w:t xml:space="preserve">2.  How Meta Ads Works — The Full Picture</w:t>
      </w:r>
    </w:p>
    <w:p>
      <w:pPr>
        <w:spacing w:after="40" w:before="40"/>
      </w:pPr>
      <w:r>
        <w:rPr>
          <w:rFonts w:ascii="Arial" w:cs="Arial" w:eastAsia="Arial" w:hAnsi="Arial"/>
          <w:color w:val="E8622A"/>
          <w:sz w:val="22"/>
          <w:szCs w:val="22"/>
        </w:rPr>
        <w:t xml:space="preserve">3.  How Google Ads Works — The Full Picture</w:t>
      </w:r>
    </w:p>
    <w:p>
      <w:pPr>
        <w:spacing w:after="40" w:before="40"/>
      </w:pPr>
      <w:r>
        <w:rPr>
          <w:rFonts w:ascii="Arial" w:cs="Arial" w:eastAsia="Arial" w:hAnsi="Arial"/>
          <w:color w:val="E8622A"/>
          <w:sz w:val="22"/>
          <w:szCs w:val="22"/>
        </w:rPr>
        <w:t xml:space="preserve">4.  What the Agent Optimises — Platform by Platform</w:t>
      </w:r>
    </w:p>
    <w:p>
      <w:pPr>
        <w:spacing w:after="40" w:before="40"/>
      </w:pPr>
      <w:r>
        <w:rPr>
          <w:rFonts w:ascii="Arial" w:cs="Arial" w:eastAsia="Arial" w:hAnsi="Arial"/>
          <w:color w:val="E8622A"/>
          <w:sz w:val="22"/>
          <w:szCs w:val="22"/>
        </w:rPr>
        <w:t xml:space="preserve">5.  The 10 Marketing Problems This Platform Solves</w:t>
      </w:r>
    </w:p>
    <w:p>
      <w:pPr>
        <w:spacing w:after="40" w:before="40"/>
      </w:pPr>
      <w:r>
        <w:rPr>
          <w:rFonts w:ascii="Arial" w:cs="Arial" w:eastAsia="Arial" w:hAnsi="Arial"/>
          <w:color w:val="E8622A"/>
          <w:sz w:val="22"/>
          <w:szCs w:val="22"/>
        </w:rPr>
        <w:t xml:space="preserve">6.  Value Proposition for Enterprise Marketing Heads</w:t>
      </w:r>
    </w:p>
    <w:p>
      <w:pPr>
        <w:spacing w:after="40" w:before="40"/>
      </w:pPr>
      <w:r>
        <w:rPr>
          <w:rFonts w:ascii="Arial" w:cs="Arial" w:eastAsia="Arial" w:hAnsi="Arial"/>
          <w:color w:val="E8622A"/>
          <w:sz w:val="22"/>
          <w:szCs w:val="22"/>
        </w:rPr>
        <w:t xml:space="preserve">7.  The Shift This Platform Creates</w:t>
      </w:r>
    </w:p>
    <w:p>
      <w:pPr>
        <w:spacing w:after="40" w:before="40"/>
      </w:pPr>
      <w:r>
        <w:rPr>
          <w:rFonts w:ascii="Arial" w:cs="Arial" w:eastAsia="Arial" w:hAnsi="Arial"/>
          <w:color w:val="E8622A"/>
          <w:sz w:val="22"/>
          <w:szCs w:val="22"/>
        </w:rPr>
        <w:t xml:space="preserve">8.  Pricing Strategy &amp; Packaging</w:t>
      </w:r>
    </w:p>
    <w:p>
      <w:pPr>
        <w:spacing w:after="40" w:before="40"/>
      </w:pPr>
      <w:r>
        <w:rPr>
          <w:rFonts w:ascii="Arial" w:cs="Arial" w:eastAsia="Arial" w:hAnsi="Arial"/>
          <w:color w:val="E8622A"/>
          <w:sz w:val="22"/>
          <w:szCs w:val="22"/>
        </w:rPr>
        <w:t xml:space="preserve">9.  Go-To-Market Playbook</w:t>
      </w:r>
    </w:p>
    <w:p>
      <w:pPr>
        <w:spacing w:after="40" w:before="40"/>
      </w:pPr>
      <w:r>
        <w:rPr>
          <w:rFonts w:ascii="Arial" w:cs="Arial" w:eastAsia="Arial" w:hAnsi="Arial"/>
          <w:color w:val="E8622A"/>
          <w:sz w:val="22"/>
          <w:szCs w:val="22"/>
        </w:rPr>
        <w:t xml:space="preserve">10. Competitive Positioning</w:t>
      </w:r>
    </w:p>
    <w:p>
      <w:pPr>
        <w:spacing w:after="40" w:before="40"/>
      </w:pPr>
      <w:r>
        <w:rPr>
          <w:rFonts w:ascii="Arial" w:cs="Arial" w:eastAsia="Arial" w:hAnsi="Arial"/>
          <w:color w:val="E8622A"/>
          <w:sz w:val="22"/>
          <w:szCs w:val="22"/>
        </w:rPr>
        <w:t xml:space="preserve">11. Client Pitch Narrative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1.  The Market Opportunity</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8622A"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E8622A"/>
                <w:sz w:val="44"/>
                <w:szCs w:val="44"/>
              </w:rPr>
              <w:t xml:space="preserve">$667B</w:t>
            </w:r>
          </w:p>
          <w:p>
            <w:pPr>
              <w:spacing w:after="0" w:before="0"/>
            </w:pPr>
            <w:r>
              <w:rPr>
                <w:rFonts w:ascii="Arial" w:cs="Arial" w:eastAsia="Arial" w:hAnsi="Arial"/>
                <w:color w:val="8A7060"/>
                <w:sz w:val="19"/>
                <w:szCs w:val="19"/>
              </w:rPr>
              <w:t xml:space="preserve">Global digital ad spend 2024</w:t>
            </w:r>
          </w:p>
        </w:tc>
        <w:tc>
          <w:tcPr>
            <w:tcW w:type="dxa" w:w="2520"/>
            <w:tcBorders>
              <w:top w:val="single" w:color="1877F2"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1877F2"/>
                <w:sz w:val="44"/>
                <w:szCs w:val="44"/>
              </w:rPr>
              <w:t xml:space="preserve">~$280B</w:t>
            </w:r>
          </w:p>
          <w:p>
            <w:pPr>
              <w:spacing w:after="0" w:before="0"/>
            </w:pPr>
            <w:r>
              <w:rPr>
                <w:rFonts w:ascii="Arial" w:cs="Arial" w:eastAsia="Arial" w:hAnsi="Arial"/>
                <w:color w:val="8A7060"/>
                <w:sz w:val="19"/>
                <w:szCs w:val="19"/>
              </w:rPr>
              <w:t xml:space="preserve">Combined Meta + Google share</w:t>
            </w:r>
          </w:p>
        </w:tc>
        <w:tc>
          <w:tcPr>
            <w:tcW w:type="dxa" w:w="2520"/>
            <w:tcBorders>
              <w:top w:val="single" w:color="34A853"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34A853"/>
                <w:sz w:val="44"/>
                <w:szCs w:val="44"/>
              </w:rPr>
              <w:t xml:space="preserve">~$50B</w:t>
            </w:r>
          </w:p>
          <w:p>
            <w:pPr>
              <w:spacing w:after="0" w:before="0"/>
            </w:pPr>
            <w:r>
              <w:rPr>
                <w:rFonts w:ascii="Arial" w:cs="Arial" w:eastAsia="Arial" w:hAnsi="Arial"/>
                <w:color w:val="8A7060"/>
                <w:sz w:val="19"/>
                <w:szCs w:val="19"/>
              </w:rPr>
              <w:t xml:space="preserve">Agency fees managing that spend</w:t>
            </w:r>
          </w:p>
        </w:tc>
        <w:tc>
          <w:tcPr>
            <w:tcW w:type="dxa" w:w="2520"/>
            <w:tcBorders>
              <w:top w:val="single" w:color="B45309"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B45309"/>
                <w:sz w:val="44"/>
                <w:szCs w:val="44"/>
              </w:rPr>
              <w:t xml:space="preserve">15–25%</w:t>
            </w:r>
          </w:p>
          <w:p>
            <w:pPr>
              <w:spacing w:after="0" w:before="0"/>
            </w:pPr>
            <w:r>
              <w:rPr>
                <w:rFonts w:ascii="Arial" w:cs="Arial" w:eastAsia="Arial" w:hAnsi="Arial"/>
                <w:color w:val="8A7060"/>
                <w:sz w:val="19"/>
                <w:szCs w:val="19"/>
              </w:rPr>
              <w:t xml:space="preserve">Typical agency operating margin</w:t>
            </w:r>
          </w:p>
        </w:tc>
      </w:tr>
    </w:tbl>
    <w:p>
      <w:pPr>
        <w:spacing w:after="0" w:before="120"/>
      </w:pPr>
      <w:r>
        <w:t xml:space="preserve"/>
      </w:r>
    </w:p>
    <w:p>
      <w:pPr>
        <w:pStyle w:val="Heading2"/>
        <w:spacing w:after="120" w:before="320"/>
      </w:pPr>
      <w:r>
        <w:rPr>
          <w:rFonts w:ascii="Arial" w:cs="Arial" w:eastAsia="Arial" w:hAnsi="Arial"/>
          <w:b/>
          <w:bCs/>
          <w:color w:val="1A0F0A"/>
          <w:sz w:val="28"/>
          <w:szCs w:val="28"/>
        </w:rPr>
        <w:t xml:space="preserve">The structural problem this platform solves</w:t>
      </w:r>
    </w:p>
    <w:p>
      <w:pPr>
        <w:spacing w:after="100" w:before="60" w:line="276"/>
      </w:pPr>
      <w:r>
        <w:rPr>
          <w:rFonts w:ascii="Arial" w:cs="Arial" w:eastAsia="Arial" w:hAnsi="Arial"/>
          <w:color w:val="1A0F0A"/>
          <w:sz w:val="22"/>
          <w:szCs w:val="22"/>
        </w:rPr>
        <w:t xml:space="preserve">The digital marketing agency industry has a fundamental economic constraint: the cost of delivering quality ad management does not decrease as an agency scales. Each new client account requires approximately the same amount of skilled human attention. Hiring more account managers to serve more clients adds cost, inconsistency, and management overhead — compressing margins further.</w:t>
      </w:r>
    </w:p>
    <w:p>
      <w:pPr>
        <w:spacing w:after="0" w:before="80"/>
      </w:pPr>
      <w:r>
        <w:t xml:space="preserve"/>
      </w:r>
    </w:p>
    <w:p>
      <w:pPr>
        <w:spacing w:after="100" w:before="60" w:line="276"/>
      </w:pPr>
      <w:r>
        <w:rPr>
          <w:rFonts w:ascii="Arial" w:cs="Arial" w:eastAsia="Arial" w:hAnsi="Arial"/>
          <w:color w:val="1A0F0A"/>
          <w:sz w:val="22"/>
          <w:szCs w:val="22"/>
        </w:rPr>
        <w:t xml:space="preserve">The result is an industry where growth means more people, not more profit per person. The only agencies breaking this model are those using technology to multiply the analytical capacity of each strategist. That is exactly what this platform does.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622A"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The core economic thesis</w:t>
            </w:r>
          </w:p>
          <w:p>
            <w:pPr>
              <w:spacing w:after="0" w:before="0"/>
            </w:pPr>
            <w:r>
              <w:rPr>
                <w:rFonts w:ascii="Arial" w:cs="Arial" w:eastAsia="Arial" w:hAnsi="Arial"/>
                <w:color w:val="1A0F0A"/>
                <w:sz w:val="22"/>
                <w:szCs w:val="22"/>
              </w:rPr>
              <w:t xml:space="preserve">A senior paid media strategist currently manages 8–12 accounts at quality depth. With this platform handling continuous monitoring and surface-level optimisation, the same strategist can oversee 40–60 accounts — a 4–5x capacity multiplier. This translates directly into margin expansion without proportional headcount growth.</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2.  How Meta Ads Works — The Full Picture</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Meta auction — why the highest bid does not always win</w:t>
      </w:r>
    </w:p>
    <w:p>
      <w:pPr>
        <w:spacing w:after="100" w:before="60" w:line="276"/>
      </w:pPr>
      <w:r>
        <w:rPr>
          <w:rFonts w:ascii="Arial" w:cs="Arial" w:eastAsia="Arial" w:hAnsi="Arial"/>
          <w:color w:val="1A0F0A"/>
          <w:sz w:val="22"/>
          <w:szCs w:val="22"/>
        </w:rPr>
        <w:t xml:space="preserve">Every time a person opens Facebook or Instagram, Meta runs a real-time auction among every advertiser competing for that impression. The winner is determined by Total Value — not the highest bid. This design rewards relevance and quality over raw spending power.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77F2"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1877F2"/>
                <w:sz w:val="22"/>
                <w:szCs w:val="22"/>
              </w:rPr>
              <w:t xml:space="preserve">Total Value = Advertiser Bid  ×  Estimated Action Rate  ×  Ad Quality Score</w:t>
            </w:r>
          </w:p>
          <w:p>
            <w:pPr>
              <w:spacing w:after="0" w:before="0"/>
            </w:pPr>
            <w:r>
              <w:rPr>
                <w:rFonts w:ascii="Arial" w:cs="Arial" w:eastAsia="Arial" w:hAnsi="Arial"/>
                <w:color w:val="1A0F0A"/>
                <w:sz w:val="22"/>
                <w:szCs w:val="22"/>
              </w:rPr>
              <w:t xml:space="preserve">A well-targeted, high-quality ad with a moderate bid consistently beats an irrelevant ad with a high bid. This is where the optimisation opportunity lives — in maximising Estimated Action Rate and Ad Quality, not just bidding higher.</w:t>
            </w:r>
          </w:p>
        </w:tc>
      </w:tr>
    </w:tbl>
    <w:p>
      <w:pPr>
        <w:spacing w:after="0" w:before="80"/>
      </w:pPr>
      <w:r>
        <w:t xml:space="preserve"/>
      </w:r>
    </w:p>
    <w:p>
      <w:pPr>
        <w:pStyle w:val="Heading3"/>
        <w:spacing w:after="80" w:before="240"/>
      </w:pPr>
      <w:r>
        <w:rPr>
          <w:rFonts w:ascii="Arial" w:cs="Arial" w:eastAsia="Arial" w:hAnsi="Arial"/>
          <w:b/>
          <w:bCs/>
          <w:color w:val="4A2210"/>
          <w:sz w:val="24"/>
          <w:szCs w:val="24"/>
        </w:rPr>
        <w:t xml:space="preserve">Estimated Action Rate</w:t>
      </w:r>
    </w:p>
    <w:p>
      <w:pPr>
        <w:spacing w:after="100" w:before="60" w:line="276"/>
      </w:pPr>
      <w:r>
        <w:rPr>
          <w:rFonts w:ascii="Arial" w:cs="Arial" w:eastAsia="Arial" w:hAnsi="Arial"/>
          <w:color w:val="1A0F0A"/>
          <w:sz w:val="22"/>
          <w:szCs w:val="22"/>
        </w:rPr>
        <w:t xml:space="preserve">Meta's ML models predict how likely a specific person is to take the advertiser's desired action (purchase, lead submission, video view) if shown a specific ad. Signals used: the person's past behaviour on Meta, demographic and psychographic profile, recent browsing via Meta Pixel, the ad's historical performance with similar audiences, and contextual factors like time of day and device.</w:t>
      </w:r>
    </w:p>
    <w:p>
      <w:pPr>
        <w:spacing w:after="0" w:before="60"/>
      </w:pPr>
      <w:r>
        <w:t xml:space="preserve"/>
      </w:r>
    </w:p>
    <w:p>
      <w:pPr>
        <w:pStyle w:val="Heading3"/>
        <w:spacing w:after="80" w:before="240"/>
      </w:pPr>
      <w:r>
        <w:rPr>
          <w:rFonts w:ascii="Arial" w:cs="Arial" w:eastAsia="Arial" w:hAnsi="Arial"/>
          <w:b/>
          <w:bCs/>
          <w:color w:val="4A2210"/>
          <w:sz w:val="24"/>
          <w:szCs w:val="24"/>
        </w:rPr>
        <w:t xml:space="preserve">Ad Quality Score</w:t>
      </w:r>
    </w:p>
    <w:p>
      <w:pPr>
        <w:spacing w:after="100" w:before="60" w:line="276"/>
      </w:pPr>
      <w:r>
        <w:rPr>
          <w:rFonts w:ascii="Arial" w:cs="Arial" w:eastAsia="Arial" w:hAnsi="Arial"/>
          <w:color w:val="1A0F0A"/>
          <w:sz w:val="22"/>
          <w:szCs w:val="22"/>
        </w:rPr>
        <w:t xml:space="preserve">Determined by user feedback (hiding, reporting, engaging with ads) and engagement rates relative to competing ads targeting the same audience. This is the metric most damaged by creative fatigue — when an audience has seen the same ad too many times, quality score drops, CPM rises, and delivery collapses.</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The Meta account structure and its performance implications</w:t>
      </w:r>
    </w:p>
    <w:p>
      <w:pPr>
        <w:spacing w:after="100" w:before="60" w:line="276"/>
      </w:pPr>
      <w:r>
        <w:rPr>
          <w:rFonts w:ascii="Arial" w:cs="Arial" w:eastAsia="Arial" w:hAnsi="Arial"/>
          <w:color w:val="1A0F0A"/>
          <w:sz w:val="22"/>
          <w:szCs w:val="22"/>
        </w:rPr>
        <w:t xml:space="preserve">The structure of a Meta account directly determines what the algorithm can optimise. Most performance problems trace back to structural issues, not bid levels.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72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Why it matters for performance</w:t>
            </w:r>
          </w:p>
        </w:tc>
      </w:tr>
      <w:tr>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Campaign Budget Optimisation (CBO)</w:t>
            </w:r>
          </w:p>
        </w:tc>
        <w:tc>
          <w:tcPr>
            <w:tcW w:type="dxa" w:w="7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Budget at campaign level lets Meta distribute spend dynamically across ad sets in real time. More efficient than ad set-level budgets on mature accounts.</w:t>
            </w:r>
          </w:p>
        </w:tc>
      </w:tr>
      <w:tr>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Audience fragmentation</w:t>
            </w:r>
          </w:p>
        </w:tc>
        <w:tc>
          <w:tcPr>
            <w:tcW w:type="dxa" w:w="7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Too many ad sets with overlapping audiences means Meta's algorithm bids against itself in the same auction. The result is inflated CPMs and reduced reach efficiency.</w:t>
            </w:r>
          </w:p>
        </w:tc>
      </w:tr>
      <w:tr>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Advantage+ audiences</w:t>
            </w:r>
          </w:p>
        </w:tc>
        <w:tc>
          <w:tcPr>
            <w:tcW w:type="dxa" w:w="7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Meta's AI-driven broad targeting consistently outperforms manually-defined narrow audiences on accounts with sufficient Pixel conversion data (typically 500+ events/month).</w:t>
            </w:r>
          </w:p>
        </w:tc>
      </w:tr>
      <w:tr>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Creative fatigue</w:t>
            </w:r>
          </w:p>
        </w:tc>
        <w:tc>
          <w:tcPr>
            <w:tcW w:type="dxa" w:w="7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The most common cause of deteriorating Meta performance. As frequency rises, CTR falls, quality score drops, CPM increases, and ROAS collapses. It happens faster than most teams notice manually.</w:t>
            </w:r>
          </w:p>
        </w:tc>
      </w:tr>
      <w:tr>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Attribution window mismatch</w:t>
            </w:r>
          </w:p>
        </w:tc>
        <w:tc>
          <w:tcPr>
            <w:tcW w:type="dxa" w:w="7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Meta's default attribution (7-day click + 1-day view) inflates reported conversions. View-through conversions should be excluded from ROAS calculations for direct-response campaigns.</w:t>
            </w:r>
          </w:p>
        </w:tc>
      </w:tr>
      <w:tr>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Learning phase sensitivity</w:t>
            </w:r>
          </w:p>
        </w:tc>
        <w:tc>
          <w:tcPr>
            <w:tcW w:type="dxa" w:w="7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Every time a significant budget, bid, or audience change is made, the campaign re-enters a learning phase. Frequent changes fragment learning and degrade performance. The agent tracks this.</w:t>
            </w:r>
          </w:p>
        </w:tc>
      </w:tr>
    </w:tbl>
    <w:p>
      <w:pPr>
        <w:spacing w:after="0" w:before="80"/>
      </w:pPr>
      <w:r>
        <w:t xml:space="preserve"/>
      </w:r>
    </w:p>
    <w:p>
      <w:pPr>
        <w:pStyle w:val="Heading2"/>
        <w:spacing w:after="120" w:before="320"/>
      </w:pPr>
      <w:r>
        <w:rPr>
          <w:rFonts w:ascii="Arial" w:cs="Arial" w:eastAsia="Arial" w:hAnsi="Arial"/>
          <w:b/>
          <w:bCs/>
          <w:color w:val="1A0F0A"/>
          <w:sz w:val="28"/>
          <w:szCs w:val="28"/>
        </w:rPr>
        <w:t xml:space="preserve">Meta optimisation levers — what the agent pulls</w:t>
      </w:r>
    </w:p>
    <w:p>
      <w:pPr>
        <w:pStyle w:val="Heading3"/>
        <w:spacing w:after="80" w:before="240"/>
      </w:pPr>
      <w:r>
        <w:rPr>
          <w:rFonts w:ascii="Arial" w:cs="Arial" w:eastAsia="Arial" w:hAnsi="Arial"/>
          <w:b/>
          <w:bCs/>
          <w:color w:val="4A2210"/>
          <w:sz w:val="24"/>
          <w:szCs w:val="24"/>
        </w:rPr>
        <w:t xml:space="preserve">Lever 1 — Budget allocation</w:t>
      </w:r>
    </w:p>
    <w:p>
      <w:pPr>
        <w:spacing w:after="100" w:before="60" w:line="276"/>
      </w:pPr>
      <w:r>
        <w:rPr>
          <w:rFonts w:ascii="Arial" w:cs="Arial" w:eastAsia="Arial" w:hAnsi="Arial"/>
          <w:color w:val="1A0F0A"/>
          <w:sz w:val="22"/>
          <w:szCs w:val="22"/>
        </w:rPr>
        <w:t xml:space="preserve">Redistribute budget from campaigns with ROAS below target to campaigns outperforming target. The agent calculates performance gaps and available headroom (is the winning campaign even spend-constrained?), then recommends a specific reallocation amount.</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2 — Bid strategy matching</w:t>
      </w:r>
    </w:p>
    <w:p>
      <w:pPr>
        <w:spacing w:after="100" w:before="60" w:line="276"/>
      </w:pPr>
      <w:r>
        <w:rPr>
          <w:rFonts w:ascii="Arial" w:cs="Arial" w:eastAsia="Arial" w:hAnsi="Arial"/>
          <w:color w:val="1A0F0A"/>
          <w:sz w:val="22"/>
          <w:szCs w:val="22"/>
        </w:rPr>
        <w:t xml:space="preserve">Match bid strategy to campaign maturity and data volume. New campaigns: Lowest Cost to accelerate learning. Mature campaigns with stable CPA: Cost Cap to control efficiency. High-value acquisition campaigns: Value Optimisation for ROAS maximisation.</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3 — Audience targeting refinement</w:t>
      </w:r>
    </w:p>
    <w:p>
      <w:pPr>
        <w:spacing w:after="100" w:before="60" w:line="276"/>
      </w:pPr>
      <w:r>
        <w:rPr>
          <w:rFonts w:ascii="Arial" w:cs="Arial" w:eastAsia="Arial" w:hAnsi="Arial"/>
          <w:color w:val="1A0F0A"/>
          <w:sz w:val="22"/>
          <w:szCs w:val="22"/>
        </w:rPr>
        <w:t xml:space="preserve">Identify declining audiences (saturation), flag overlap between ad sets, recommend broadening to Advantage+ when manual targeting is underperforming on accounts with strong Pixel signal.</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4 — Creative rotation</w:t>
      </w:r>
    </w:p>
    <w:p>
      <w:pPr>
        <w:spacing w:after="100" w:before="60" w:line="276"/>
      </w:pPr>
      <w:r>
        <w:rPr>
          <w:rFonts w:ascii="Arial" w:cs="Arial" w:eastAsia="Arial" w:hAnsi="Arial"/>
          <w:color w:val="1A0F0A"/>
          <w:sz w:val="22"/>
          <w:szCs w:val="22"/>
        </w:rPr>
        <w:t xml:space="preserve">Detect fatigue signals (frequency + CTR decline together) before they severely impact CPA. Recommend pausing underperforming creatives without pausing the campaign — preserving campaign learning.</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5 — Placement optimisation</w:t>
      </w:r>
    </w:p>
    <w:p>
      <w:pPr>
        <w:spacing w:after="100" w:before="60" w:line="276"/>
      </w:pPr>
      <w:r>
        <w:rPr>
          <w:rFonts w:ascii="Arial" w:cs="Arial" w:eastAsia="Arial" w:hAnsi="Arial"/>
          <w:color w:val="1A0F0A"/>
          <w:sz w:val="22"/>
          <w:szCs w:val="22"/>
        </w:rPr>
        <w:t xml:space="preserve">Compare performance by placement (Feed, Stories, Reels, Audience Network). Recommend excluding placements with consistently higher CPM and lower conversion rate.</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6 — Schedule and dayparting</w:t>
      </w:r>
    </w:p>
    <w:p>
      <w:pPr>
        <w:spacing w:after="100" w:before="60" w:line="276"/>
      </w:pPr>
      <w:r>
        <w:rPr>
          <w:rFonts w:ascii="Arial" w:cs="Arial" w:eastAsia="Arial" w:hAnsi="Arial"/>
          <w:color w:val="1A0F0A"/>
          <w:sz w:val="22"/>
          <w:szCs w:val="22"/>
        </w:rPr>
        <w:t xml:space="preserve">Analyse conversion rate by hour and day of week. For manual bidding campaigns, recommend dayparting to concentrate spend in high-conversion windows.</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7 — Structural recommendations</w:t>
      </w:r>
    </w:p>
    <w:p>
      <w:pPr>
        <w:spacing w:after="100" w:before="60" w:line="276"/>
      </w:pPr>
      <w:r>
        <w:rPr>
          <w:rFonts w:ascii="Arial" w:cs="Arial" w:eastAsia="Arial" w:hAnsi="Arial"/>
          <w:color w:val="1A0F0A"/>
          <w:sz w:val="22"/>
          <w:szCs w:val="22"/>
        </w:rPr>
        <w:t xml:space="preserve">Flag objective misalignment (reach campaign optimising for conversions), recommend retargeting campaigns when Pixel traffic is sufficient, suggest lookalike audience expansion when existing audiences are saturating.</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3.  How Google Ads Works — The Full Picture</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fundamental difference from Meta</w:t>
      </w:r>
    </w:p>
    <w:p>
      <w:pPr>
        <w:spacing w:after="100" w:before="60" w:line="276"/>
      </w:pPr>
      <w:r>
        <w:rPr>
          <w:rFonts w:ascii="Arial" w:cs="Arial" w:eastAsia="Arial" w:hAnsi="Arial"/>
          <w:color w:val="1A0F0A"/>
          <w:sz w:val="22"/>
          <w:szCs w:val="22"/>
        </w:rPr>
        <w:t xml:space="preserve">Meta advertising is interruption-based — you are placing a message in front of someone who was not looking for it. Google search advertising is intent-based — you are responding to a declared need. Someone typing 'accountancy software for small business London' is actively looking to buy or evaluate. This distinction shapes every aspect of how Google campaigns should be structured and optimised.</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4A853"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34A853"/>
                <w:sz w:val="22"/>
                <w:szCs w:val="22"/>
              </w:rPr>
              <w:t xml:space="preserve">Ad Rank = Max Bid  ×  Quality Score  ×  Expected Impact of Extensions  +  Context</w:t>
            </w:r>
          </w:p>
          <w:p>
            <w:pPr>
              <w:spacing w:after="0" w:before="0"/>
            </w:pPr>
            <w:r>
              <w:rPr>
                <w:rFonts w:ascii="Arial" w:cs="Arial" w:eastAsia="Arial" w:hAnsi="Arial"/>
                <w:color w:val="1A0F0A"/>
                <w:sz w:val="22"/>
                <w:szCs w:val="22"/>
              </w:rPr>
              <w:t xml:space="preserve">You pay only enough to beat the Ad Rank of the advertiser immediately below you — not your maximum bid. A Quality Score of 10 vs 5 on the same keyword can halve your cost per click for the same position. Quality Score is the most undermanaged lever in Google Ads.</w:t>
            </w:r>
          </w:p>
        </w:tc>
      </w:tr>
    </w:tbl>
    <w:p>
      <w:pPr>
        <w:spacing w:after="0" w:before="80"/>
      </w:pPr>
      <w:r>
        <w:t xml:space="preserve"/>
      </w:r>
    </w:p>
    <w:p>
      <w:pPr>
        <w:pStyle w:val="Heading2"/>
        <w:spacing w:after="120" w:before="320"/>
      </w:pPr>
      <w:r>
        <w:rPr>
          <w:rFonts w:ascii="Arial" w:cs="Arial" w:eastAsia="Arial" w:hAnsi="Arial"/>
          <w:b/>
          <w:bCs/>
          <w:color w:val="1A0F0A"/>
          <w:sz w:val="28"/>
          <w:szCs w:val="28"/>
        </w:rPr>
        <w:t xml:space="preserve">Quality Score — the most undermanaged lever</w:t>
      </w:r>
    </w:p>
    <w:p>
      <w:pPr>
        <w:spacing w:after="100" w:before="60" w:line="276"/>
      </w:pPr>
      <w:r>
        <w:rPr>
          <w:rFonts w:ascii="Arial" w:cs="Arial" w:eastAsia="Arial" w:hAnsi="Arial"/>
          <w:color w:val="1A0F0A"/>
          <w:sz w:val="22"/>
          <w:szCs w:val="22"/>
        </w:rPr>
        <w:t xml:space="preserve">Quality Score (1–10) is Google's rating of the relevance and quality of your keywords, ads, and landing pages. It has three components, each rated above/below/at average: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74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What drives it</w:t>
            </w:r>
          </w:p>
        </w:tc>
      </w:tr>
      <w:tr>
        <w:tc>
          <w:tcPr>
            <w:tcW w:type="dxa" w:w="26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Expected CTR</w:t>
            </w:r>
          </w:p>
        </w:tc>
        <w:tc>
          <w:tcPr>
            <w:tcW w:type="dxa" w:w="74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Does your ad get clicked when shown? Determined by historical CTR adjusted for position and context. Tight keyword-to-ad relevance drives this up.</w:t>
            </w:r>
          </w:p>
        </w:tc>
      </w:tr>
      <w:tr>
        <w:tc>
          <w:tcPr>
            <w:tcW w:type="dxa" w:w="26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Ad Relevance</w:t>
            </w:r>
          </w:p>
        </w:tc>
        <w:tc>
          <w:tcPr>
            <w:tcW w:type="dxa" w:w="74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Does your ad copy match the searcher's intent? The searched keyword should appear in the headline. Vague generic ads score poorly regardless of bid.</w:t>
            </w:r>
          </w:p>
        </w:tc>
      </w:tr>
      <w:tr>
        <w:tc>
          <w:tcPr>
            <w:tcW w:type="dxa" w:w="26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Landing Page Experience</w:t>
            </w:r>
          </w:p>
        </w:tc>
        <w:tc>
          <w:tcPr>
            <w:tcW w:type="dxa" w:w="74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After clicking, do people find what they expected? Page load speed, mobile optimisation, content relevance, and bounce signals feed this component.</w:t>
            </w:r>
          </w:p>
        </w:tc>
      </w:tr>
    </w:tbl>
    <w:p>
      <w:pPr>
        <w:spacing w:after="0" w:before="80"/>
      </w:pPr>
      <w:r>
        <w:t xml:space="preserve"/>
      </w:r>
    </w:p>
    <w:p>
      <w:pPr>
        <w:spacing w:after="100" w:before="60" w:line="276"/>
      </w:pPr>
      <w:r>
        <w:rPr>
          <w:rFonts w:ascii="Arial" w:cs="Arial" w:eastAsia="Arial" w:hAnsi="Arial"/>
          <w:color w:val="1A0F0A"/>
          <w:sz w:val="22"/>
          <w:szCs w:val="22"/>
        </w:rPr>
        <w:t xml:space="preserve">A keyword with Quality Score 10 costs approximately half the CPC of the same keyword with Quality Score 5, for the same ad position. The agent models this relationship per keyword and quantifies the exact CPC savings available from Quality Score improvement.</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Smart Bidding — what it is, when it works, when it fails</w:t>
      </w:r>
    </w:p>
    <w:p>
      <w:pPr>
        <w:spacing w:after="100" w:before="60" w:line="276"/>
      </w:pPr>
      <w:r>
        <w:rPr>
          <w:rFonts w:ascii="Arial" w:cs="Arial" w:eastAsia="Arial" w:hAnsi="Arial"/>
          <w:color w:val="1A0F0A"/>
          <w:sz w:val="22"/>
          <w:szCs w:val="22"/>
        </w:rPr>
        <w:t xml:space="preserve">Smart Bidding (Target ROAS, Target CPA, Maximise Conversions) uses Google's ML to set bids in real time at the impression level, considering hundreds of contextual signals. When it works well, it outperforms any manual bidding strategy. When it fails, it usually fails for one of three reasons:</w:t>
      </w:r>
    </w:p>
    <w:p>
      <w:pPr>
        <w:spacing w:after="0" w:before="60"/>
      </w:pPr>
      <w:r>
        <w:t xml:space="preserve"/>
      </w:r>
    </w:p>
    <w:p>
      <w:pPr>
        <w:pStyle w:val="ListParagraph"/>
        <w:numPr>
          <w:ilvl w:val="0"/>
          <w:numId w:val="2"/>
        </w:numPr>
        <w:spacing w:after="60" w:before="40"/>
      </w:pPr>
      <w:r>
        <w:rPr>
          <w:rFonts w:ascii="Arial" w:cs="Arial" w:eastAsia="Arial" w:hAnsi="Arial"/>
          <w:color w:val="1A0F0A"/>
          <w:sz w:val="22"/>
          <w:szCs w:val="22"/>
        </w:rPr>
        <w:t xml:space="preserve">Insufficient data: Target CPA and Target ROAS need 50+ conversions per campaign in the past 30 days to function reliably. Below this, the algorithm over- or under-bids erratically.</w:t>
      </w:r>
    </w:p>
    <w:p>
      <w:pPr>
        <w:pStyle w:val="ListParagraph"/>
        <w:numPr>
          <w:ilvl w:val="0"/>
          <w:numId w:val="2"/>
        </w:numPr>
        <w:spacing w:after="60" w:before="40"/>
      </w:pPr>
      <w:r>
        <w:rPr>
          <w:rFonts w:ascii="Arial" w:cs="Arial" w:eastAsia="Arial" w:hAnsi="Arial"/>
          <w:color w:val="1A0F0A"/>
          <w:sz w:val="22"/>
          <w:szCs w:val="22"/>
        </w:rPr>
        <w:t xml:space="preserve">Targets set too aggressively: a Target ROAS of 1,500% when the account has only ever achieved 400% means the algorithm never bids competitively — the campaign starves for impressions.</w:t>
      </w:r>
    </w:p>
    <w:p>
      <w:pPr>
        <w:pStyle w:val="ListParagraph"/>
        <w:numPr>
          <w:ilvl w:val="0"/>
          <w:numId w:val="2"/>
        </w:numPr>
        <w:spacing w:after="60" w:before="40"/>
      </w:pPr>
      <w:r>
        <w:rPr>
          <w:rFonts w:ascii="Arial" w:cs="Arial" w:eastAsia="Arial" w:hAnsi="Arial"/>
          <w:color w:val="1A0F0A"/>
          <w:sz w:val="22"/>
          <w:szCs w:val="22"/>
        </w:rPr>
        <w:t xml:space="preserve">Frequent target changes: every time a Smart Bidding target changes significantly, the campaign re-enters a 1–2 week learning period. The agent avoids recommending target changes more than once a fortnight per campaign.</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Search terms — the hidden budget leak</w:t>
      </w:r>
    </w:p>
    <w:p>
      <w:pPr>
        <w:spacing w:after="100" w:before="60" w:line="276"/>
      </w:pPr>
      <w:r>
        <w:rPr>
          <w:rFonts w:ascii="Arial" w:cs="Arial" w:eastAsia="Arial" w:hAnsi="Arial"/>
          <w:color w:val="1A0F0A"/>
          <w:sz w:val="22"/>
          <w:szCs w:val="22"/>
        </w:rPr>
        <w:t xml:space="preserve">Broad match and phrase match keywords trigger on related queries, not just the exact keywords you specified. Without active negative keyword management, a significant portion of budget is spent on irrelevant searches. Most accounts have this problem — it is invisible without systematic analysis.</w:t>
      </w:r>
    </w:p>
    <w:p>
      <w:pPr>
        <w:spacing w:after="0" w:before="60"/>
      </w:pPr>
      <w:r>
        <w:t xml:space="preserve"/>
      </w:r>
    </w:p>
    <w:p>
      <w:pPr>
        <w:pStyle w:val="Heading3"/>
        <w:spacing w:after="80" w:before="240"/>
      </w:pPr>
      <w:r>
        <w:rPr>
          <w:rFonts w:ascii="Arial" w:cs="Arial" w:eastAsia="Arial" w:hAnsi="Arial"/>
          <w:b/>
          <w:bCs/>
          <w:color w:val="4A2210"/>
          <w:sz w:val="24"/>
          <w:szCs w:val="24"/>
        </w:rPr>
        <w:t xml:space="preserve">What the agent finds in the search terms report</w:t>
      </w:r>
    </w:p>
    <w:p>
      <w:pPr>
        <w:pStyle w:val="ListParagraph"/>
        <w:numPr>
          <w:ilvl w:val="0"/>
          <w:numId w:val="2"/>
        </w:numPr>
        <w:spacing w:after="60" w:before="40"/>
      </w:pPr>
      <w:r>
        <w:rPr>
          <w:rFonts w:ascii="Arial" w:cs="Arial" w:eastAsia="Arial" w:hAnsi="Arial"/>
          <w:color w:val="1A0F0A"/>
          <w:sz w:val="22"/>
          <w:szCs w:val="22"/>
        </w:rPr>
        <w:t xml:space="preserve">Irrelevant query patterns: queries with zero conversions, meaningful spend, and no semantic relationship to the campaign objective.</w:t>
      </w:r>
    </w:p>
    <w:p>
      <w:pPr>
        <w:pStyle w:val="ListParagraph"/>
        <w:numPr>
          <w:ilvl w:val="0"/>
          <w:numId w:val="2"/>
        </w:numPr>
        <w:spacing w:after="60" w:before="40"/>
      </w:pPr>
      <w:r>
        <w:rPr>
          <w:rFonts w:ascii="Arial" w:cs="Arial" w:eastAsia="Arial" w:hAnsi="Arial"/>
          <w:color w:val="1A0F0A"/>
          <w:sz w:val="22"/>
          <w:szCs w:val="22"/>
        </w:rPr>
        <w:t xml:space="preserve">Competitor brand terms: competitor names triggering your ads — add as negatives unless you have a deliberate competitor targeting strategy.</w:t>
      </w:r>
    </w:p>
    <w:p>
      <w:pPr>
        <w:pStyle w:val="ListParagraph"/>
        <w:numPr>
          <w:ilvl w:val="0"/>
          <w:numId w:val="2"/>
        </w:numPr>
        <w:spacing w:after="60" w:before="40"/>
      </w:pPr>
      <w:r>
        <w:rPr>
          <w:rFonts w:ascii="Arial" w:cs="Arial" w:eastAsia="Arial" w:hAnsi="Arial"/>
          <w:color w:val="1A0F0A"/>
          <w:sz w:val="22"/>
          <w:szCs w:val="22"/>
        </w:rPr>
        <w:t xml:space="preserve">High-converting broad match queries: queries converting well on broad match that should be added as exact match to capture them with more bid control.</w:t>
      </w:r>
    </w:p>
    <w:p>
      <w:pPr>
        <w:pStyle w:val="ListParagraph"/>
        <w:numPr>
          <w:ilvl w:val="0"/>
          <w:numId w:val="2"/>
        </w:numPr>
        <w:spacing w:after="60" w:before="40"/>
      </w:pPr>
      <w:r>
        <w:rPr>
          <w:rFonts w:ascii="Arial" w:cs="Arial" w:eastAsia="Arial" w:hAnsi="Arial"/>
          <w:color w:val="1A0F0A"/>
          <w:sz w:val="22"/>
          <w:szCs w:val="22"/>
        </w:rPr>
        <w:t xml:space="preserve">Query clusters: groups of similar high-volume queries that reveal opportunities for new ad groups with tighter ad copy relevance and higher Quality Scores.</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Google optimisation levers — what the agent pulls</w:t>
      </w:r>
    </w:p>
    <w:p>
      <w:pPr>
        <w:pStyle w:val="Heading3"/>
        <w:spacing w:after="80" w:before="240"/>
      </w:pPr>
      <w:r>
        <w:rPr>
          <w:rFonts w:ascii="Arial" w:cs="Arial" w:eastAsia="Arial" w:hAnsi="Arial"/>
          <w:b/>
          <w:bCs/>
          <w:color w:val="4A2210"/>
          <w:sz w:val="24"/>
          <w:szCs w:val="24"/>
        </w:rPr>
        <w:t xml:space="preserve">Lever 1 — Keyword bid management</w:t>
      </w:r>
    </w:p>
    <w:p>
      <w:pPr>
        <w:spacing w:after="100" w:before="60" w:line="276"/>
      </w:pPr>
      <w:r>
        <w:rPr>
          <w:rFonts w:ascii="Arial" w:cs="Arial" w:eastAsia="Arial" w:hAnsi="Arial"/>
          <w:color w:val="1A0F0A"/>
          <w:sz w:val="22"/>
          <w:szCs w:val="22"/>
        </w:rPr>
        <w:t xml:space="preserve">For manual CPC: raise bids on keywords with CPA below target and search impression share below 70% (opportunity). Lower bids on keywords with CPA above target. Pause keywords with zero conversions after spend exceeds 3x the target CPA.</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2 — Smart Bidding target calibration</w:t>
      </w:r>
    </w:p>
    <w:p>
      <w:pPr>
        <w:spacing w:after="100" w:before="60" w:line="276"/>
      </w:pPr>
      <w:r>
        <w:rPr>
          <w:rFonts w:ascii="Arial" w:cs="Arial" w:eastAsia="Arial" w:hAnsi="Arial"/>
          <w:color w:val="1A0F0A"/>
          <w:sz w:val="22"/>
          <w:szCs w:val="22"/>
        </w:rPr>
        <w:t xml:space="preserve">If volume is low and impression share is poor, the target is too aggressive — recommend 15–20% relaxation. If volume is strong and CPA/ROAS is consistently outperforming the target, gradually tighten for improved efficiency.</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3 — Negative keyword additions</w:t>
      </w:r>
    </w:p>
    <w:p>
      <w:pPr>
        <w:spacing w:after="100" w:before="60" w:line="276"/>
      </w:pPr>
      <w:r>
        <w:rPr>
          <w:rFonts w:ascii="Arial" w:cs="Arial" w:eastAsia="Arial" w:hAnsi="Arial"/>
          <w:color w:val="1A0F0A"/>
          <w:sz w:val="22"/>
          <w:szCs w:val="22"/>
        </w:rPr>
        <w:t xml:space="preserve">Weekly analysis of search terms to identify and prioritise negative keyword additions. Presented with total wasted spend each irrelevant query has consumed — making the ROI of the action immediately visible.</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4 — Ad copy improvement</w:t>
      </w:r>
    </w:p>
    <w:p>
      <w:pPr>
        <w:spacing w:after="100" w:before="60" w:line="276"/>
      </w:pPr>
      <w:r>
        <w:rPr>
          <w:rFonts w:ascii="Arial" w:cs="Arial" w:eastAsia="Arial" w:hAnsi="Arial"/>
          <w:color w:val="1A0F0A"/>
          <w:sz w:val="22"/>
          <w:szCs w:val="22"/>
        </w:rPr>
        <w:t xml:space="preserve">For Responsive Search Ads, identify headlines and descriptions with LOW asset performance ratings. Recommend replacements following high-CTR patterns: benefit-led headlines, keyword inclusion, specificity, social proof.</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5 — Budget and impression share</w:t>
      </w:r>
    </w:p>
    <w:p>
      <w:pPr>
        <w:spacing w:after="100" w:before="60" w:line="276"/>
      </w:pPr>
      <w:r>
        <w:rPr>
          <w:rFonts w:ascii="Arial" w:cs="Arial" w:eastAsia="Arial" w:hAnsi="Arial"/>
          <w:color w:val="1A0F0A"/>
          <w:sz w:val="22"/>
          <w:szCs w:val="22"/>
        </w:rPr>
        <w:t xml:space="preserve">Identify campaigns losing impression share to budget (increase budget) vs. campaigns losing to rank (improve quality or bid). These require different interventions — the agent diagnoses which before recommending.</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6 — Quality Score improvement</w:t>
      </w:r>
    </w:p>
    <w:p>
      <w:pPr>
        <w:spacing w:after="100" w:before="60" w:line="276"/>
      </w:pPr>
      <w:r>
        <w:rPr>
          <w:rFonts w:ascii="Arial" w:cs="Arial" w:eastAsia="Arial" w:hAnsi="Arial"/>
          <w:color w:val="1A0F0A"/>
          <w:sz w:val="22"/>
          <w:szCs w:val="22"/>
        </w:rPr>
        <w:t xml:space="preserve">Model CPC savings from QS improvement per keyword. For keywords with QS 4–6, diagnose the weakest component and recommend specific improvements to ad copy relevance, ad group structure, or landing page.</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7 — Campaign structure</w:t>
      </w:r>
    </w:p>
    <w:p>
      <w:pPr>
        <w:spacing w:after="100" w:before="60" w:line="276"/>
      </w:pPr>
      <w:r>
        <w:rPr>
          <w:rFonts w:ascii="Arial" w:cs="Arial" w:eastAsia="Arial" w:hAnsi="Arial"/>
          <w:color w:val="1A0F0A"/>
          <w:sz w:val="22"/>
          <w:szCs w:val="22"/>
        </w:rPr>
        <w:t xml:space="preserve">Recommend splitting broad ad groups with diverse keyword themes into tighter thematic groups for higher relevance. Recommend consolidating single-keyword ad groups below minimum volume thresholds for Smart Bidding data.</w:t>
      </w:r>
    </w:p>
    <w:p>
      <w:pPr>
        <w:spacing w:after="0" w:before="40"/>
      </w:pPr>
      <w:r>
        <w:t xml:space="preserve"/>
      </w:r>
    </w:p>
    <w:p>
      <w:pPr>
        <w:pStyle w:val="Heading3"/>
        <w:spacing w:after="80" w:before="240"/>
      </w:pPr>
      <w:r>
        <w:rPr>
          <w:rFonts w:ascii="Arial" w:cs="Arial" w:eastAsia="Arial" w:hAnsi="Arial"/>
          <w:b/>
          <w:bCs/>
          <w:color w:val="4A2210"/>
          <w:sz w:val="24"/>
          <w:szCs w:val="24"/>
        </w:rPr>
        <w:t xml:space="preserve">Lever 8 — Auction insights monitoring</w:t>
      </w:r>
    </w:p>
    <w:p>
      <w:pPr>
        <w:spacing w:after="100" w:before="60" w:line="276"/>
      </w:pPr>
      <w:r>
        <w:rPr>
          <w:rFonts w:ascii="Arial" w:cs="Arial" w:eastAsia="Arial" w:hAnsi="Arial"/>
          <w:color w:val="1A0F0A"/>
          <w:sz w:val="22"/>
          <w:szCs w:val="22"/>
        </w:rPr>
        <w:t xml:space="preserve">Track competitor overlap rate, position above rate, and impression share trends. Significant changes in competitor behaviour (increased overlap, rising position above rate) should trigger bid strategy reviews.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5.  The 10 Marketing Problems This Platform Solves</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Every problem below has a direct cost to an agency</w:t>
      </w:r>
    </w:p>
    <w:p>
      <w:pPr>
        <w:spacing w:after="100" w:before="60" w:line="276"/>
      </w:pPr>
      <w:r>
        <w:rPr>
          <w:rFonts w:ascii="Arial" w:cs="Arial" w:eastAsia="Arial" w:hAnsi="Arial"/>
          <w:color w:val="1A0F0A"/>
          <w:sz w:val="22"/>
          <w:szCs w:val="22"/>
        </w:rPr>
        <w:t xml:space="preserve">These are not hypothetical challenges. They are the reasons client accounts underperform, relationships end, and agency margins stay thin. Each one is directly addressed by the platform.</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E8622A"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01</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The speed problem</w:t>
            </w:r>
          </w:p>
          <w:p>
            <w:pPr>
              <w:spacing w:after="0" w:before="0"/>
            </w:pPr>
            <w:r>
              <w:rPr>
                <w:rFonts w:ascii="Arial" w:cs="Arial" w:eastAsia="Arial" w:hAnsi="Arial"/>
                <w:color w:val="1A0F0A"/>
                <w:sz w:val="21"/>
                <w:szCs w:val="21"/>
              </w:rPr>
              <w:t xml:space="preserve">A human reviewing an account weekly misses problems that develop in hours. Creative fatigue starts on a Tuesday and wastes 3 days of budget before Friday's review. A Google keyword begins capturing irrelevant queries over a weekend and burns £2,000 before Monday. The agent catches these within one 30-minute ingestion cycle.</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E8622A"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02</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The scale problem</w:t>
            </w:r>
          </w:p>
          <w:p>
            <w:pPr>
              <w:spacing w:after="0" w:before="0"/>
            </w:pPr>
            <w:r>
              <w:rPr>
                <w:rFonts w:ascii="Arial" w:cs="Arial" w:eastAsia="Arial" w:hAnsi="Arial"/>
                <w:color w:val="1A0F0A"/>
                <w:sz w:val="21"/>
                <w:szCs w:val="21"/>
              </w:rPr>
              <w:t xml:space="preserve">One strategist manages 8–12 accounts at quality depth. With the agent doing continuous monitoring, the same strategist oversees 40–60 accounts. This is a 4–5x capacity multiplier — the most direct path to margin expansion without headcount growth.</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E8622A"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03</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The consistency problem</w:t>
            </w:r>
          </w:p>
          <w:p>
            <w:pPr>
              <w:spacing w:after="0" w:before="0"/>
            </w:pPr>
            <w:r>
              <w:rPr>
                <w:rFonts w:ascii="Arial" w:cs="Arial" w:eastAsia="Arial" w:hAnsi="Arial"/>
                <w:color w:val="1A0F0A"/>
                <w:sz w:val="21"/>
                <w:szCs w:val="21"/>
              </w:rPr>
              <w:t xml:space="preserve">Human attention is uneven. Larger, more interesting, or more vocal clients get deeper analysis. Smaller accounts get surface-level reviews. The agent applies the same analytical rigour to every account, every cycle, regardless of spend size.</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877F2"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04</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1877F2"/>
                <w:sz w:val="22"/>
                <w:szCs w:val="22"/>
              </w:rPr>
              <w:t xml:space="preserve">The pattern recognition problem</w:t>
            </w:r>
          </w:p>
          <w:p>
            <w:pPr>
              <w:spacing w:after="0" w:before="0"/>
            </w:pPr>
            <w:r>
              <w:rPr>
                <w:rFonts w:ascii="Arial" w:cs="Arial" w:eastAsia="Arial" w:hAnsi="Arial"/>
                <w:color w:val="1A0F0A"/>
                <w:sz w:val="21"/>
                <w:szCs w:val="21"/>
              </w:rPr>
              <w:t xml:space="preserve">Across 50 accounts, a human cannot easily spot that all ecommerce clients are experiencing a ROAS decline this week. The agent sees all accounts simultaneously and can surface cross-account patterns — enabling coordinated, proactive responses.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877F2"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05</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1877F2"/>
                <w:sz w:val="22"/>
                <w:szCs w:val="22"/>
              </w:rPr>
              <w:t xml:space="preserve">The attribution complexity problem</w:t>
            </w:r>
          </w:p>
          <w:p>
            <w:pPr>
              <w:spacing w:after="0" w:before="0"/>
            </w:pPr>
            <w:r>
              <w:rPr>
                <w:rFonts w:ascii="Arial" w:cs="Arial" w:eastAsia="Arial" w:hAnsi="Arial"/>
                <w:color w:val="1A0F0A"/>
                <w:sz w:val="21"/>
                <w:szCs w:val="21"/>
              </w:rPr>
              <w:t xml:space="preserve">Multi-touch attribution across Meta and Google is genuinely complex. The two platforms report the same conversions differently. The agent normalises attribution windows and flags when last-click attribution is misrepresenting channel value.</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34A853"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06</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34A853"/>
                <w:sz w:val="22"/>
                <w:szCs w:val="22"/>
              </w:rPr>
              <w:t xml:space="preserve">The documentation problem</w:t>
            </w:r>
          </w:p>
          <w:p>
            <w:pPr>
              <w:spacing w:after="0" w:before="0"/>
            </w:pPr>
            <w:r>
              <w:rPr>
                <w:rFonts w:ascii="Arial" w:cs="Arial" w:eastAsia="Arial" w:hAnsi="Arial"/>
                <w:color w:val="1A0F0A"/>
                <w:sz w:val="21"/>
                <w:szCs w:val="21"/>
              </w:rPr>
              <w:t xml:space="preserve">When a client asks 'why did my CPA increase last month?', a human-managed account often cannot produce a complete answer. The agent maintains a full audit trail: every recommendation, every approval, every execution, every measured outcome. Complete accountability, always.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34A853"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07</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34A853"/>
                <w:sz w:val="22"/>
                <w:szCs w:val="22"/>
              </w:rPr>
              <w:t xml:space="preserve">The knowledge retention problem</w:t>
            </w:r>
          </w:p>
          <w:p>
            <w:pPr>
              <w:spacing w:after="0" w:before="0"/>
            </w:pPr>
            <w:r>
              <w:rPr>
                <w:rFonts w:ascii="Arial" w:cs="Arial" w:eastAsia="Arial" w:hAnsi="Arial"/>
                <w:color w:val="1A0F0A"/>
                <w:sz w:val="21"/>
                <w:szCs w:val="21"/>
              </w:rPr>
              <w:t xml:space="preserve">When a PPC specialist leaves, their account knowledge often leaves with them. The agent's recommendation history and execution log is institutional memory that persists independent of personnel changes.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7C3AED"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08</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The client trust problem</w:t>
            </w:r>
          </w:p>
          <w:p>
            <w:pPr>
              <w:spacing w:after="0" w:before="0"/>
            </w:pPr>
            <w:r>
              <w:rPr>
                <w:rFonts w:ascii="Arial" w:cs="Arial" w:eastAsia="Arial" w:hAnsi="Arial"/>
                <w:color w:val="1A0F0A"/>
                <w:sz w:val="21"/>
                <w:szCs w:val="21"/>
              </w:rPr>
              <w:t xml:space="preserve">Clients who can see a dashboard showing exactly what was recommended, approved, executed, and measured — trust the agency more. Transparency is a retention mechanism, not just a nice-to-have.</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7C3AED"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09</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The reactive vs proactive problem</w:t>
            </w:r>
          </w:p>
          <w:p>
            <w:pPr>
              <w:spacing w:after="0" w:before="0"/>
            </w:pPr>
            <w:r>
              <w:rPr>
                <w:rFonts w:ascii="Arial" w:cs="Arial" w:eastAsia="Arial" w:hAnsi="Arial"/>
                <w:color w:val="1A0F0A"/>
                <w:sz w:val="21"/>
                <w:szCs w:val="21"/>
              </w:rPr>
              <w:t xml:space="preserve">Most agencies manage accounts reactively — fixing problems after they appear. The agent enables genuinely proactive management: identifying deteriorating trends before they become problems, finding growth opportunities before the client asks.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0F766E" w:val="clear"/>
            <w:tcMar>
              <w:top w:type="dxa" w:w="140"/>
              <w:left w:type="dxa" w:w="0"/>
              <w:bottom w:type="dxa" w:w="140"/>
              <w:right w:type="dxa" w:w="0"/>
            </w:tcMar>
            <w:vAlign w:val="center"/>
          </w:tcPr>
          <w:p>
            <w:pPr>
              <w:jc w:val="center"/>
            </w:pPr>
            <w:r>
              <w:rPr>
                <w:rFonts w:ascii="Arial" w:cs="Arial" w:eastAsia="Arial" w:hAnsi="Arial"/>
                <w:b/>
                <w:bCs/>
                <w:color w:val="FFFFFF"/>
                <w:sz w:val="40"/>
                <w:szCs w:val="40"/>
              </w:rPr>
              <w:t xml:space="preserve">10</w:t>
            </w:r>
          </w:p>
        </w:tc>
        <w:tc>
          <w:tcPr>
            <w:tcW w:type="dxa" w:w="9480"/>
            <w:tcBorders>
              <w:top w:val="single" w:color="E0CBB8" w:sz="1"/>
              <w:left w:val="none" w:color="FFFFFF" w:sz="0"/>
              <w:bottom w:val="single" w:color="E0CBB8" w:sz="1"/>
              <w:right w:val="single" w:color="E0CBB8" w:sz="1"/>
            </w:tcBorders>
            <w:shd w:fill="FAF7F5" w:val="clear"/>
            <w:tcMar>
              <w:top w:type="dxa" w:w="120"/>
              <w:left w:type="dxa" w:w="200"/>
              <w:bottom w:type="dxa" w:w="120"/>
              <w:right w:type="dxa" w:w="200"/>
            </w:tcMar>
          </w:tcPr>
          <w:p>
            <w:pPr>
              <w:spacing w:after="60" w:before="0"/>
            </w:pPr>
            <w:r>
              <w:rPr>
                <w:rFonts w:ascii="Arial" w:cs="Arial" w:eastAsia="Arial" w:hAnsi="Arial"/>
                <w:b/>
                <w:bCs/>
                <w:color w:val="0F766E"/>
                <w:sz w:val="22"/>
                <w:szCs w:val="22"/>
              </w:rPr>
              <w:t xml:space="preserve">The expertise gap problem</w:t>
            </w:r>
          </w:p>
          <w:p>
            <w:pPr>
              <w:spacing w:after="0" w:before="0"/>
            </w:pPr>
            <w:r>
              <w:rPr>
                <w:rFonts w:ascii="Arial" w:cs="Arial" w:eastAsia="Arial" w:hAnsi="Arial"/>
                <w:color w:val="1A0F0A"/>
                <w:sz w:val="21"/>
                <w:szCs w:val="21"/>
              </w:rPr>
              <w:t xml:space="preserve">Not every team member has deep expertise in both Meta and Google. The agent encodes expert-level analytical logic for both platforms and applies it consistently — raising the floor of quality across the entire team.</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6.  Value Proposition for Enterprise Marketing Heads</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enterprise context</w:t>
      </w:r>
    </w:p>
    <w:p>
      <w:pPr>
        <w:spacing w:after="100" w:before="60" w:line="276"/>
      </w:pPr>
      <w:r>
        <w:rPr>
          <w:rFonts w:ascii="Arial" w:cs="Arial" w:eastAsia="Arial" w:hAnsi="Arial"/>
          <w:color w:val="1A0F0A"/>
          <w:sz w:val="22"/>
          <w:szCs w:val="22"/>
        </w:rPr>
        <w:t xml:space="preserve">The Head of Performance Marketing or CMO at a large digital agency managing 50–200 client accounts faces a different challenge than a boutique agency. Their challenge is orchestration, consistency, and evidence of value at scale — not expertise. Their team has the expertise. What they lack is a system that applies it uniformly, continuously, and with full documentation.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8622A"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E8622A"/>
                <w:sz w:val="44"/>
                <w:szCs w:val="44"/>
              </w:rPr>
              <w:t xml:space="preserve">50–200</w:t>
            </w:r>
          </w:p>
          <w:p>
            <w:pPr>
              <w:spacing w:after="0" w:before="0"/>
            </w:pPr>
            <w:r>
              <w:rPr>
                <w:rFonts w:ascii="Arial" w:cs="Arial" w:eastAsia="Arial" w:hAnsi="Arial"/>
                <w:color w:val="8A7060"/>
                <w:sz w:val="19"/>
                <w:szCs w:val="19"/>
              </w:rPr>
              <w:t xml:space="preserve">Client accounts managed</w:t>
            </w:r>
          </w:p>
        </w:tc>
        <w:tc>
          <w:tcPr>
            <w:tcW w:type="dxa" w:w="2520"/>
            <w:tcBorders>
              <w:top w:val="single" w:color="B45309"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B45309"/>
                <w:sz w:val="44"/>
                <w:szCs w:val="44"/>
              </w:rPr>
              <w:t xml:space="preserve">8–12</w:t>
            </w:r>
          </w:p>
          <w:p>
            <w:pPr>
              <w:spacing w:after="0" w:before="0"/>
            </w:pPr>
            <w:r>
              <w:rPr>
                <w:rFonts w:ascii="Arial" w:cs="Arial" w:eastAsia="Arial" w:hAnsi="Arial"/>
                <w:color w:val="8A7060"/>
                <w:sz w:val="19"/>
                <w:szCs w:val="19"/>
              </w:rPr>
              <w:t xml:space="preserve">Accounts per manager (manual)</w:t>
            </w:r>
          </w:p>
        </w:tc>
        <w:tc>
          <w:tcPr>
            <w:tcW w:type="dxa" w:w="2520"/>
            <w:tcBorders>
              <w:top w:val="single" w:color="0F766E"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0F766E"/>
                <w:sz w:val="44"/>
                <w:szCs w:val="44"/>
              </w:rPr>
              <w:t xml:space="preserve">40–60</w:t>
            </w:r>
          </w:p>
          <w:p>
            <w:pPr>
              <w:spacing w:after="0" w:before="0"/>
            </w:pPr>
            <w:r>
              <w:rPr>
                <w:rFonts w:ascii="Arial" w:cs="Arial" w:eastAsia="Arial" w:hAnsi="Arial"/>
                <w:color w:val="8A7060"/>
                <w:sz w:val="19"/>
                <w:szCs w:val="19"/>
              </w:rPr>
              <w:t xml:space="preserve">Accounts per manager (with agent)</w:t>
            </w:r>
          </w:p>
        </w:tc>
        <w:tc>
          <w:tcPr>
            <w:tcW w:type="dxa" w:w="2520"/>
            <w:tcBorders>
              <w:top w:val="single" w:color="34A853" w:sz="8"/>
              <w:left w:val="single" w:color="E0CBB8" w:sz="1"/>
              <w:bottom w:val="single" w:color="E0CBB8" w:sz="1"/>
              <w:right w:val="single" w:color="E0CBB8" w:sz="1"/>
            </w:tcBorders>
            <w:shd w:fill="FAF7F5" w:val="clear"/>
            <w:tcMar>
              <w:top w:type="dxa" w:w="140"/>
              <w:left w:type="dxa" w:w="180"/>
              <w:bottom w:type="dxa" w:w="140"/>
              <w:right w:type="dxa" w:w="180"/>
            </w:tcMar>
          </w:tcPr>
          <w:p>
            <w:pPr>
              <w:spacing w:after="60" w:before="0"/>
            </w:pPr>
            <w:r>
              <w:rPr>
                <w:rFonts w:ascii="Arial" w:cs="Arial" w:eastAsia="Arial" w:hAnsi="Arial"/>
                <w:b/>
                <w:bCs/>
                <w:color w:val="34A853"/>
                <w:sz w:val="44"/>
                <w:szCs w:val="44"/>
              </w:rPr>
              <w:t xml:space="preserve">4–5x</w:t>
            </w:r>
          </w:p>
          <w:p>
            <w:pPr>
              <w:spacing w:after="0" w:before="0"/>
            </w:pPr>
            <w:r>
              <w:rPr>
                <w:rFonts w:ascii="Arial" w:cs="Arial" w:eastAsia="Arial" w:hAnsi="Arial"/>
                <w:color w:val="8A7060"/>
                <w:sz w:val="19"/>
                <w:szCs w:val="19"/>
              </w:rPr>
              <w:t xml:space="preserve">Capacity multiplier per person</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specific value at each stakeholder level</w:t>
      </w:r>
    </w:p>
    <w:p>
      <w:pPr>
        <w:pStyle w:val="Heading3"/>
        <w:spacing w:after="80" w:before="240"/>
      </w:pPr>
      <w:r>
        <w:rPr>
          <w:rFonts w:ascii="Arial" w:cs="Arial" w:eastAsia="Arial" w:hAnsi="Arial"/>
          <w:b/>
          <w:bCs/>
          <w:color w:val="4A2210"/>
          <w:sz w:val="24"/>
          <w:szCs w:val="24"/>
        </w:rPr>
        <w:t xml:space="preserve">For the CMO / MD</w:t>
      </w:r>
    </w:p>
    <w:p>
      <w:pPr>
        <w:pStyle w:val="ListParagraph"/>
        <w:numPr>
          <w:ilvl w:val="0"/>
          <w:numId w:val="2"/>
        </w:numPr>
        <w:spacing w:after="60" w:before="40"/>
      </w:pPr>
      <w:r>
        <w:rPr>
          <w:rFonts w:ascii="Arial" w:cs="Arial" w:eastAsia="Arial" w:hAnsi="Arial"/>
          <w:color w:val="1A0F0A"/>
          <w:sz w:val="22"/>
          <w:szCs w:val="22"/>
        </w:rPr>
        <w:t xml:space="preserve">The agency can grow client portfolio without proportionally scaling headcount — directly expanding operating margin.</w:t>
      </w:r>
    </w:p>
    <w:p>
      <w:pPr>
        <w:pStyle w:val="ListParagraph"/>
        <w:numPr>
          <w:ilvl w:val="0"/>
          <w:numId w:val="2"/>
        </w:numPr>
        <w:spacing w:after="60" w:before="40"/>
      </w:pPr>
      <w:r>
        <w:rPr>
          <w:rFonts w:ascii="Arial" w:cs="Arial" w:eastAsia="Arial" w:hAnsi="Arial"/>
          <w:color w:val="1A0F0A"/>
          <w:sz w:val="22"/>
          <w:szCs w:val="22"/>
        </w:rPr>
        <w:t xml:space="preserve">The platform becomes a differentiated service offering in new business pitches: 'AI-powered continuous optimisation with human oversight and full audit trail.'</w:t>
      </w:r>
    </w:p>
    <w:p>
      <w:pPr>
        <w:pStyle w:val="ListParagraph"/>
        <w:numPr>
          <w:ilvl w:val="0"/>
          <w:numId w:val="2"/>
        </w:numPr>
        <w:spacing w:after="60" w:before="40"/>
      </w:pPr>
      <w:r>
        <w:rPr>
          <w:rFonts w:ascii="Arial" w:cs="Arial" w:eastAsia="Arial" w:hAnsi="Arial"/>
          <w:color w:val="1A0F0A"/>
          <w:sz w:val="22"/>
          <w:szCs w:val="22"/>
        </w:rPr>
        <w:t xml:space="preserve">Client retention improves because transparent, data-backed, continuously-active optimisation reduces the perception of 'nothing happening on my account'.</w:t>
      </w:r>
    </w:p>
    <w:p>
      <w:pPr>
        <w:spacing w:after="0" w:before="60"/>
      </w:pPr>
      <w:r>
        <w:t xml:space="preserve"/>
      </w:r>
    </w:p>
    <w:p>
      <w:pPr>
        <w:pStyle w:val="Heading3"/>
        <w:spacing w:after="80" w:before="240"/>
      </w:pPr>
      <w:r>
        <w:rPr>
          <w:rFonts w:ascii="Arial" w:cs="Arial" w:eastAsia="Arial" w:hAnsi="Arial"/>
          <w:b/>
          <w:bCs/>
          <w:color w:val="4A2210"/>
          <w:sz w:val="24"/>
          <w:szCs w:val="24"/>
        </w:rPr>
        <w:t xml:space="preserve">For the Head of Paid Media</w:t>
      </w:r>
    </w:p>
    <w:p>
      <w:pPr>
        <w:pStyle w:val="ListParagraph"/>
        <w:numPr>
          <w:ilvl w:val="0"/>
          <w:numId w:val="2"/>
        </w:numPr>
        <w:spacing w:after="60" w:before="40"/>
      </w:pPr>
      <w:r>
        <w:rPr>
          <w:rFonts w:ascii="Arial" w:cs="Arial" w:eastAsia="Arial" w:hAnsi="Arial"/>
          <w:color w:val="1A0F0A"/>
          <w:sz w:val="22"/>
          <w:szCs w:val="22"/>
        </w:rPr>
        <w:t xml:space="preserve">Senior strategists spend more time on strategy, creative direction, and client relationships — the genuinely high-value work — and less time on execution and routine monitoring.</w:t>
      </w:r>
    </w:p>
    <w:p>
      <w:pPr>
        <w:pStyle w:val="ListParagraph"/>
        <w:numPr>
          <w:ilvl w:val="0"/>
          <w:numId w:val="2"/>
        </w:numPr>
        <w:spacing w:after="60" w:before="40"/>
      </w:pPr>
      <w:r>
        <w:rPr>
          <w:rFonts w:ascii="Arial" w:cs="Arial" w:eastAsia="Arial" w:hAnsi="Arial"/>
          <w:color w:val="1A0F0A"/>
          <w:sz w:val="22"/>
          <w:szCs w:val="22"/>
        </w:rPr>
        <w:t xml:space="preserve">New team members ramp faster because the agent handles the baseline optimisation loop while they build account knowledge.</w:t>
      </w:r>
    </w:p>
    <w:p>
      <w:pPr>
        <w:pStyle w:val="ListParagraph"/>
        <w:numPr>
          <w:ilvl w:val="0"/>
          <w:numId w:val="2"/>
        </w:numPr>
        <w:spacing w:after="60" w:before="40"/>
      </w:pPr>
      <w:r>
        <w:rPr>
          <w:rFonts w:ascii="Arial" w:cs="Arial" w:eastAsia="Arial" w:hAnsi="Arial"/>
          <w:color w:val="1A0F0A"/>
          <w:sz w:val="22"/>
          <w:szCs w:val="22"/>
        </w:rPr>
        <w:t xml:space="preserve">Performance becomes measurable and accountable: every recommendation has a projected impact and every execution has a measured outcome.</w:t>
      </w:r>
    </w:p>
    <w:p>
      <w:pPr>
        <w:spacing w:after="0" w:before="60"/>
      </w:pPr>
      <w:r>
        <w:t xml:space="preserve"/>
      </w:r>
    </w:p>
    <w:p>
      <w:pPr>
        <w:pStyle w:val="Heading3"/>
        <w:spacing w:after="80" w:before="240"/>
      </w:pPr>
      <w:r>
        <w:rPr>
          <w:rFonts w:ascii="Arial" w:cs="Arial" w:eastAsia="Arial" w:hAnsi="Arial"/>
          <w:b/>
          <w:bCs/>
          <w:color w:val="4A2210"/>
          <w:sz w:val="24"/>
          <w:szCs w:val="24"/>
        </w:rPr>
        <w:t xml:space="preserve">For the Account Manager</w:t>
      </w:r>
    </w:p>
    <w:p>
      <w:pPr>
        <w:pStyle w:val="ListParagraph"/>
        <w:numPr>
          <w:ilvl w:val="0"/>
          <w:numId w:val="2"/>
        </w:numPr>
        <w:spacing w:after="60" w:before="40"/>
      </w:pPr>
      <w:r>
        <w:rPr>
          <w:rFonts w:ascii="Arial" w:cs="Arial" w:eastAsia="Arial" w:hAnsi="Arial"/>
          <w:color w:val="1A0F0A"/>
          <w:sz w:val="22"/>
          <w:szCs w:val="22"/>
        </w:rPr>
        <w:t xml:space="preserve">Their weekly account reviews become exception-based: they only need to deeply investigate accounts where the agent has flagged something unusual.</w:t>
      </w:r>
    </w:p>
    <w:p>
      <w:pPr>
        <w:pStyle w:val="ListParagraph"/>
        <w:numPr>
          <w:ilvl w:val="0"/>
          <w:numId w:val="2"/>
        </w:numPr>
        <w:spacing w:after="60" w:before="40"/>
      </w:pPr>
      <w:r>
        <w:rPr>
          <w:rFonts w:ascii="Arial" w:cs="Arial" w:eastAsia="Arial" w:hAnsi="Arial"/>
          <w:color w:val="1A0F0A"/>
          <w:sz w:val="22"/>
          <w:szCs w:val="22"/>
        </w:rPr>
        <w:t xml:space="preserve">Client calls are more productive because the agent's recommendation history gives them a complete narrative of what has been done and why.</w:t>
      </w:r>
    </w:p>
    <w:p>
      <w:pPr>
        <w:pStyle w:val="ListParagraph"/>
        <w:numPr>
          <w:ilvl w:val="0"/>
          <w:numId w:val="2"/>
        </w:numPr>
        <w:spacing w:after="60" w:before="40"/>
      </w:pPr>
      <w:r>
        <w:rPr>
          <w:rFonts w:ascii="Arial" w:cs="Arial" w:eastAsia="Arial" w:hAnsi="Arial"/>
          <w:color w:val="1A0F0A"/>
          <w:sz w:val="22"/>
          <w:szCs w:val="22"/>
        </w:rPr>
        <w:t xml:space="preserve">They can manage more clients without feeling like quality is slipping — because it isn't.</w:t>
      </w:r>
    </w:p>
    <w:p>
      <w:pPr>
        <w:spacing w:after="0" w:before="60"/>
      </w:pPr>
      <w:r>
        <w:t xml:space="preserve"/>
      </w:r>
    </w:p>
    <w:p>
      <w:pPr>
        <w:pStyle w:val="Heading3"/>
        <w:spacing w:after="80" w:before="240"/>
      </w:pPr>
      <w:r>
        <w:rPr>
          <w:rFonts w:ascii="Arial" w:cs="Arial" w:eastAsia="Arial" w:hAnsi="Arial"/>
          <w:b/>
          <w:bCs/>
          <w:color w:val="4A2210"/>
          <w:sz w:val="24"/>
          <w:szCs w:val="24"/>
        </w:rPr>
        <w:t xml:space="preserve">For the End Client</w:t>
      </w:r>
    </w:p>
    <w:p>
      <w:pPr>
        <w:pStyle w:val="ListParagraph"/>
        <w:numPr>
          <w:ilvl w:val="0"/>
          <w:numId w:val="2"/>
        </w:numPr>
        <w:spacing w:after="60" w:before="40"/>
      </w:pPr>
      <w:r>
        <w:rPr>
          <w:rFonts w:ascii="Arial" w:cs="Arial" w:eastAsia="Arial" w:hAnsi="Arial"/>
          <w:color w:val="1A0F0A"/>
          <w:sz w:val="22"/>
          <w:szCs w:val="22"/>
        </w:rPr>
        <w:t xml:space="preserve">Faster response to performance changes — issues caught in hours, not a week.</w:t>
      </w:r>
    </w:p>
    <w:p>
      <w:pPr>
        <w:pStyle w:val="ListParagraph"/>
        <w:numPr>
          <w:ilvl w:val="0"/>
          <w:numId w:val="2"/>
        </w:numPr>
        <w:spacing w:after="60" w:before="40"/>
      </w:pPr>
      <w:r>
        <w:rPr>
          <w:rFonts w:ascii="Arial" w:cs="Arial" w:eastAsia="Arial" w:hAnsi="Arial"/>
          <w:color w:val="1A0F0A"/>
          <w:sz w:val="22"/>
          <w:szCs w:val="22"/>
        </w:rPr>
        <w:t xml:space="preserve">Consistent quality whether they are the agency's largest client or smallest.</w:t>
      </w:r>
    </w:p>
    <w:p>
      <w:pPr>
        <w:pStyle w:val="ListParagraph"/>
        <w:numPr>
          <w:ilvl w:val="0"/>
          <w:numId w:val="2"/>
        </w:numPr>
        <w:spacing w:after="60" w:before="40"/>
      </w:pPr>
      <w:r>
        <w:rPr>
          <w:rFonts w:ascii="Arial" w:cs="Arial" w:eastAsia="Arial" w:hAnsi="Arial"/>
          <w:color w:val="1A0F0A"/>
          <w:sz w:val="22"/>
          <w:szCs w:val="22"/>
        </w:rPr>
        <w:t xml:space="preserve">Full transparency via the reporting dashboard: every change, every reason, every result.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7.  The Shift This Platform Creates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45309"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B45309"/>
                <w:sz w:val="22"/>
                <w:szCs w:val="22"/>
              </w:rPr>
              <w:t xml:space="preserve">Before this platform</w:t>
            </w:r>
          </w:p>
          <w:p>
            <w:pPr>
              <w:spacing w:after="0" w:before="0"/>
            </w:pPr>
            <w:r>
              <w:rPr>
                <w:rFonts w:ascii="Arial" w:cs="Arial" w:eastAsia="Arial" w:hAnsi="Arial"/>
                <w:color w:val="1A0F0A"/>
                <w:sz w:val="22"/>
                <w:szCs w:val="22"/>
              </w:rPr>
              <w:t xml:space="preserve">Your team are the people who make changes to ad accounts. They spend the majority of their time in campaign UIs, making adjustments, checking metrics, writing reports. The quality of your output is limited by the number of people you have and the hours they work.</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8"/>
              <w:left w:val="single" w:color="E0CBB8" w:sz="1"/>
              <w:bottom w:val="single" w:color="E0CBB8" w:sz="1"/>
              <w:right w:val="single" w:color="E0CBB8" w:sz="1"/>
            </w:tcBorders>
            <w:shd w:fill="F0FDF4" w:val="clear"/>
            <w:tcMar>
              <w:top w:type="dxa" w:w="120"/>
              <w:left w:type="dxa" w:w="200"/>
              <w:bottom w:type="dxa" w:w="120"/>
              <w:right w:type="dxa" w:w="200"/>
            </w:tcMar>
          </w:tcPr>
          <w:p>
            <w:pPr>
              <w:spacing w:after="60" w:before="0"/>
            </w:pPr>
            <w:r>
              <w:rPr>
                <w:rFonts w:ascii="Arial" w:cs="Arial" w:eastAsia="Arial" w:hAnsi="Arial"/>
                <w:b/>
                <w:bCs/>
                <w:color w:val="0F766E"/>
                <w:sz w:val="22"/>
                <w:szCs w:val="22"/>
              </w:rPr>
              <w:t xml:space="preserve">After this platform</w:t>
            </w:r>
          </w:p>
          <w:p>
            <w:pPr>
              <w:spacing w:after="0" w:before="0"/>
            </w:pPr>
            <w:r>
              <w:rPr>
                <w:rFonts w:ascii="Arial" w:cs="Arial" w:eastAsia="Arial" w:hAnsi="Arial"/>
                <w:color w:val="1A0F0A"/>
                <w:sz w:val="22"/>
                <w:szCs w:val="22"/>
              </w:rPr>
              <w:t xml:space="preserve">Your team are the people who set strategy, approve important decisions, and build client relationships. The agent makes the changes — continuously, consistently, and with full documentation. Quality does not vary by client size or day of the week.</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What your team does differently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c>
          <w:tcPr>
            <w:tcW w:type="dxa" w:w="24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8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Before</w:t>
            </w:r>
          </w:p>
        </w:tc>
        <w:tc>
          <w:tcPr>
            <w:tcW w:type="dxa" w:w="48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After</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Account monitoring</w:t>
            </w:r>
          </w:p>
        </w:tc>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Check metrics, identify anomalies, flag issues manually</w:t>
            </w:r>
          </w:p>
        </w:tc>
        <w:tc>
          <w:tcPr>
            <w:tcW w:type="dxa" w:w="48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Review the agent's flagged items — exception-based, not comprehensive</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Bid and budget management</w:t>
            </w:r>
          </w:p>
        </w:tc>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Log into platform UIs, manually adjust bids and budgets</w:t>
            </w:r>
          </w:p>
        </w:tc>
        <w:tc>
          <w:tcPr>
            <w:tcW w:type="dxa" w:w="48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Approve or reject agent recommendations with full reasoning provided</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Reporting</w:t>
            </w:r>
          </w:p>
        </w:tc>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Manually compile weekly/monthly reports from platform exports</w:t>
            </w:r>
          </w:p>
        </w:tc>
        <w:tc>
          <w:tcPr>
            <w:tcW w:type="dxa" w:w="48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Share the auto-generated report with the client's measured impact narrative</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New account onboarding</w:t>
            </w:r>
          </w:p>
        </w:tc>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2–3 weeks to build familiarity and start optimising</w:t>
            </w:r>
          </w:p>
        </w:tc>
        <w:tc>
          <w:tcPr>
            <w:tcW w:type="dxa" w:w="48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Agent begins generating recommendations from first 30-minute ingestion cycle</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Team capacity</w:t>
            </w:r>
          </w:p>
        </w:tc>
        <w:tc>
          <w:tcPr>
            <w:tcW w:type="dxa" w:w="2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Hire more account managers to serve more clients</w:t>
            </w:r>
          </w:p>
        </w:tc>
        <w:tc>
          <w:tcPr>
            <w:tcW w:type="dxa" w:w="48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Increase client base 4–5x per strategist before adding headcount</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Knowledge retention</w:t>
            </w:r>
          </w:p>
        </w:tc>
        <w:tc>
          <w:tcPr>
            <w:tcW w:type="dxa" w:w="2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Risk of losing account knowledge when staff leave</w:t>
            </w:r>
          </w:p>
        </w:tc>
        <w:tc>
          <w:tcPr>
            <w:tcW w:type="dxa" w:w="48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Full recommendation and execution history persists in the platform permanently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8.  Pricing Strategy &amp; Packaging</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Pricing model — percentage of managed spend</w:t>
      </w:r>
    </w:p>
    <w:p>
      <w:pPr>
        <w:spacing w:after="100" w:before="60" w:line="276"/>
      </w:pPr>
      <w:r>
        <w:rPr>
          <w:rFonts w:ascii="Arial" w:cs="Arial" w:eastAsia="Arial" w:hAnsi="Arial"/>
          <w:color w:val="1A0F0A"/>
          <w:sz w:val="22"/>
          <w:szCs w:val="22"/>
        </w:rPr>
        <w:t xml:space="preserve">The right pricing model for an ad optimisation platform is a percentage of the managed advertising spend, with a monthly minimum. This model aligns incentives perfectly: the platform earns more as clients scale their budgets, and clients pay in proportion to the value they receive. It also mirrors how most agencies charge clients — making it easy to pass through as a cost.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80"/>
      </w:tblGrid>
      <w:tr>
        <w:tc>
          <w:tcPr>
            <w:tcW w:type="dxa" w:w="20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6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54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Price &amp; target</w:t>
            </w:r>
          </w:p>
        </w:tc>
      </w:tr>
      <w:tr>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Internal use</w:t>
            </w:r>
          </w:p>
        </w:tc>
        <w:tc>
          <w:tcPr>
            <w:tcW w:type="dxa" w:w="26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Your agency's own client accounts</w:t>
            </w:r>
          </w:p>
        </w:tc>
        <w:tc>
          <w:tcPr>
            <w:tcW w:type="dxa" w:w="54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£0 — competitive advantage. The platform pays for itself in efficiency gains.</w:t>
            </w:r>
          </w:p>
        </w:tc>
      </w:tr>
      <w:tr>
        <w:tc>
          <w:tcPr>
            <w:tcW w:type="dxa" w:w="2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Agency Starter</w:t>
            </w:r>
          </w:p>
        </w:tc>
        <w:tc>
          <w:tcPr>
            <w:tcW w:type="dxa" w:w="26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Up to £50k/month total managed spend</w:t>
            </w:r>
          </w:p>
        </w:tc>
        <w:tc>
          <w:tcPr>
            <w:tcW w:type="dxa" w:w="54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£299/month flat. Target: boutique agencies, 5–20 accounts.</w:t>
            </w:r>
          </w:p>
        </w:tc>
      </w:tr>
      <w:tr>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Agency Growth</w:t>
            </w:r>
          </w:p>
        </w:tc>
        <w:tc>
          <w:tcPr>
            <w:tcW w:type="dxa" w:w="26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£50k–£500k/month managed spend</w:t>
            </w:r>
          </w:p>
        </w:tc>
        <w:tc>
          <w:tcPr>
            <w:tcW w:type="dxa" w:w="54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0.5% of managed spend. Approximately £250–£2,500/month.</w:t>
            </w:r>
          </w:p>
        </w:tc>
      </w:tr>
      <w:tr>
        <w:tc>
          <w:tcPr>
            <w:tcW w:type="dxa" w:w="2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Agency Scale</w:t>
            </w:r>
          </w:p>
        </w:tc>
        <w:tc>
          <w:tcPr>
            <w:tcW w:type="dxa" w:w="26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£500k+/month managed spend</w:t>
            </w:r>
          </w:p>
        </w:tc>
        <w:tc>
          <w:tcPr>
            <w:tcW w:type="dxa" w:w="54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0.3% of managed spend. Volume discount for large agencies.</w:t>
            </w:r>
          </w:p>
        </w:tc>
      </w:tr>
      <w:tr>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Enterprise</w:t>
            </w:r>
          </w:p>
        </w:tc>
        <w:tc>
          <w:tcPr>
            <w:tcW w:type="dxa" w:w="26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Multi-brand, holding company, or large independent</w:t>
            </w:r>
          </w:p>
        </w:tc>
        <w:tc>
          <w:tcPr>
            <w:tcW w:type="dxa" w:w="54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Custom. Includes SLA, dedicated support, custom integrations.</w:t>
            </w:r>
          </w:p>
        </w:tc>
      </w:tr>
      <w:tr>
        <w:tc>
          <w:tcPr>
            <w:tcW w:type="dxa" w:w="2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White-label add-on</w:t>
            </w:r>
          </w:p>
        </w:tc>
        <w:tc>
          <w:tcPr>
            <w:tcW w:type="dxa" w:w="26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Resell under your own brand</w:t>
            </w:r>
          </w:p>
        </w:tc>
        <w:tc>
          <w:tcPr>
            <w:tcW w:type="dxa" w:w="54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+£199/month. Custom domain, logo, email branding.</w:t>
            </w:r>
          </w:p>
        </w:tc>
      </w:tr>
    </w:tbl>
    <w:p>
      <w:pPr>
        <w:spacing w:after="0" w:before="80"/>
      </w:pPr>
      <w:r>
        <w:t xml:space="preserve"/>
      </w:r>
    </w:p>
    <w:p>
      <w:pPr>
        <w:pStyle w:val="Heading3"/>
        <w:spacing w:after="80" w:before="240"/>
      </w:pPr>
      <w:r>
        <w:rPr>
          <w:rFonts w:ascii="Arial" w:cs="Arial" w:eastAsia="Arial" w:hAnsi="Arial"/>
          <w:b/>
          <w:bCs/>
          <w:color w:val="4A2210"/>
          <w:sz w:val="24"/>
          <w:szCs w:val="24"/>
        </w:rPr>
        <w:t xml:space="preserve">Packaging decision — what each tier includes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6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Included features</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All tiers</w:t>
            </w:r>
          </w:p>
        </w:tc>
        <w:tc>
          <w:tcPr>
            <w:tcW w:type="dxa" w:w="7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Meta + Google agent, recommendation engine, approval dashboard, Slack bot, audit log, unified reporting</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Growth and above</w:t>
            </w:r>
          </w:p>
        </w:tc>
        <w:tc>
          <w:tcPr>
            <w:tcW w:type="dxa" w:w="76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Auto-execution engine, guardrails configuration, cross-platform orchestrator, anomaly alerting</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Scale and above</w:t>
            </w:r>
          </w:p>
        </w:tc>
        <w:tc>
          <w:tcPr>
            <w:tcW w:type="dxa" w:w="7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Multi-user access (up to 20 seats), custom goal configurations, API access for custom integrations</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Enterprise</w:t>
            </w:r>
          </w:p>
        </w:tc>
        <w:tc>
          <w:tcPr>
            <w:tcW w:type="dxa" w:w="76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Custom SLA (99.9% uptime guarantee), dedicated Slack support channel, custom data retention, SSO</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White-label add-on</w:t>
            </w:r>
          </w:p>
        </w:tc>
        <w:tc>
          <w:tcPr>
            <w:tcW w:type="dxa" w:w="7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Custom domain, logo, email sender domain, client-facing portal with your branding</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622A"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Pricing philosophy</w:t>
            </w:r>
          </w:p>
          <w:p>
            <w:pPr>
              <w:spacing w:after="0" w:before="0"/>
            </w:pPr>
            <w:r>
              <w:rPr>
                <w:rFonts w:ascii="Arial" w:cs="Arial" w:eastAsia="Arial" w:hAnsi="Arial"/>
                <w:color w:val="1A0F0A"/>
                <w:sz w:val="22"/>
                <w:szCs w:val="22"/>
              </w:rPr>
              <w:t xml:space="preserve">Start with a price that feels slightly too low for what you are delivering. It will be easier to raise prices as the product matures and you have case studies than to overcome early resistance with high launch pricing. The goal at launch is adoption and proof points, not maximum revenue per customer.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9.  Go-To-Market Playbook</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Phase 1 — Internal use (Months 1–5)</w:t>
      </w:r>
    </w:p>
    <w:p>
      <w:pPr>
        <w:spacing w:after="100" w:before="60" w:line="276"/>
      </w:pPr>
      <w:r>
        <w:rPr>
          <w:rFonts w:ascii="Arial" w:cs="Arial" w:eastAsia="Arial" w:hAnsi="Arial"/>
          <w:color w:val="1A0F0A"/>
          <w:sz w:val="22"/>
          <w:szCs w:val="22"/>
        </w:rPr>
        <w:t xml:space="preserve">Build for your own agency first. This is the lowest-risk, highest-learning phase. Your own accounts have real budgets, real clients, and real stakes. The gap between what works in theory and what works in production is found here, not in testing.</w:t>
      </w:r>
    </w:p>
    <w:p>
      <w:pPr>
        <w:spacing w:after="0" w:before="60"/>
      </w:pPr>
      <w:r>
        <w:t xml:space="preserve"/>
      </w:r>
    </w:p>
    <w:p>
      <w:pPr>
        <w:pStyle w:val="ListParagraph"/>
        <w:numPr>
          <w:ilvl w:val="0"/>
          <w:numId w:val="2"/>
        </w:numPr>
        <w:spacing w:after="60" w:before="40"/>
      </w:pPr>
      <w:r>
        <w:rPr>
          <w:rFonts w:ascii="Arial" w:cs="Arial" w:eastAsia="Arial" w:hAnsi="Arial"/>
          <w:color w:val="1A0F0A"/>
          <w:sz w:val="22"/>
          <w:szCs w:val="22"/>
        </w:rPr>
        <w:t xml:space="preserve">Run recommendations-only mode for the first 4 weeks on 5 internal client accounts. Review every recommendation manually. Assess quality, calibrate prompts.</w:t>
      </w:r>
    </w:p>
    <w:p>
      <w:pPr>
        <w:pStyle w:val="ListParagraph"/>
        <w:numPr>
          <w:ilvl w:val="0"/>
          <w:numId w:val="2"/>
        </w:numPr>
        <w:spacing w:after="60" w:before="40"/>
      </w:pPr>
      <w:r>
        <w:rPr>
          <w:rFonts w:ascii="Arial" w:cs="Arial" w:eastAsia="Arial" w:hAnsi="Arial"/>
          <w:color w:val="1A0F0A"/>
          <w:sz w:val="22"/>
          <w:szCs w:val="22"/>
        </w:rPr>
        <w:t xml:space="preserve">Enable human-approval mode for your PPC team in weeks 5–8. Track approval rate — low approval rate means prompts need work.</w:t>
      </w:r>
    </w:p>
    <w:p>
      <w:pPr>
        <w:pStyle w:val="ListParagraph"/>
        <w:numPr>
          <w:ilvl w:val="0"/>
          <w:numId w:val="2"/>
        </w:numPr>
        <w:spacing w:after="60" w:before="40"/>
      </w:pPr>
      <w:r>
        <w:rPr>
          <w:rFonts w:ascii="Arial" w:cs="Arial" w:eastAsia="Arial" w:hAnsi="Arial"/>
          <w:color w:val="1A0F0A"/>
          <w:sz w:val="22"/>
          <w:szCs w:val="22"/>
        </w:rPr>
        <w:t xml:space="preserve">Enable auto-execution on 2–3 low-risk accounts (small budgets, high-trust clients) in weeks 9–12. Monitor closely.</w:t>
      </w:r>
    </w:p>
    <w:p>
      <w:pPr>
        <w:pStyle w:val="ListParagraph"/>
        <w:numPr>
          <w:ilvl w:val="0"/>
          <w:numId w:val="2"/>
        </w:numPr>
        <w:spacing w:after="60" w:before="40"/>
      </w:pPr>
      <w:r>
        <w:rPr>
          <w:rFonts w:ascii="Arial" w:cs="Arial" w:eastAsia="Arial" w:hAnsi="Arial"/>
          <w:color w:val="1A0F0A"/>
          <w:sz w:val="22"/>
          <w:szCs w:val="22"/>
        </w:rPr>
        <w:t xml:space="preserve">Document everything: before/after performance, time saved per account per week, recommendation quality metrics. These become your case study evidence.</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Phase 2 — Pilot with strategic clients (Months 5–6)</w:t>
      </w:r>
    </w:p>
    <w:p>
      <w:pPr>
        <w:spacing w:after="100" w:before="60" w:line="276"/>
      </w:pPr>
      <w:r>
        <w:rPr>
          <w:rFonts w:ascii="Arial" w:cs="Arial" w:eastAsia="Arial" w:hAnsi="Arial"/>
          <w:color w:val="1A0F0A"/>
          <w:sz w:val="22"/>
          <w:szCs w:val="22"/>
        </w:rPr>
        <w:t xml:space="preserve">Once internal validation is strong, offer the platform as an 'Advanced Optimisation Tier' to 5–10 strategic clients. Frame it as exclusive access to a new capability you are rolling out.</w:t>
      </w:r>
    </w:p>
    <w:p>
      <w:pPr>
        <w:spacing w:after="0" w:before="60"/>
      </w:pPr>
      <w:r>
        <w:t xml:space="preserve"/>
      </w:r>
    </w:p>
    <w:p>
      <w:pPr>
        <w:pStyle w:val="ListParagraph"/>
        <w:numPr>
          <w:ilvl w:val="0"/>
          <w:numId w:val="2"/>
        </w:numPr>
        <w:spacing w:after="60" w:before="40"/>
      </w:pPr>
      <w:r>
        <w:rPr>
          <w:rFonts w:ascii="Arial" w:cs="Arial" w:eastAsia="Arial" w:hAnsi="Arial"/>
          <w:color w:val="1A0F0A"/>
          <w:sz w:val="22"/>
          <w:szCs w:val="22"/>
        </w:rPr>
        <w:t xml:space="preserve">Choose clients who: have significant ad spend (gives the agent enough data), are analytically engaged (will appreciate the reporting transparency), and are advocates for your agency (will refer others if the results are good).</w:t>
      </w:r>
    </w:p>
    <w:p>
      <w:pPr>
        <w:pStyle w:val="ListParagraph"/>
        <w:numPr>
          <w:ilvl w:val="0"/>
          <w:numId w:val="2"/>
        </w:numPr>
        <w:spacing w:after="60" w:before="40"/>
      </w:pPr>
      <w:r>
        <w:rPr>
          <w:rFonts w:ascii="Arial" w:cs="Arial" w:eastAsia="Arial" w:hAnsi="Arial"/>
          <w:color w:val="1A0F0A"/>
          <w:sz w:val="22"/>
          <w:szCs w:val="22"/>
        </w:rPr>
        <w:t xml:space="preserve">Give these clients the dashboard access. Walk through the first set of recommendations with them on a call. This builds trust and gives you product feedback.</w:t>
      </w:r>
    </w:p>
    <w:p>
      <w:pPr>
        <w:pStyle w:val="ListParagraph"/>
        <w:numPr>
          <w:ilvl w:val="0"/>
          <w:numId w:val="2"/>
        </w:numPr>
        <w:spacing w:after="60" w:before="40"/>
      </w:pPr>
      <w:r>
        <w:rPr>
          <w:rFonts w:ascii="Arial" w:cs="Arial" w:eastAsia="Arial" w:hAnsi="Arial"/>
          <w:color w:val="1A0F0A"/>
          <w:sz w:val="22"/>
          <w:szCs w:val="22"/>
        </w:rPr>
        <w:t xml:space="preserve">Measure and document: CPA improvement, ROAS improvement, time from anomaly to resolution, recommendation acceptance rate.</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Phase 3 — External launch (Month 6+)</w:t>
      </w:r>
    </w:p>
    <w:p>
      <w:pPr>
        <w:spacing w:after="100" w:before="60" w:line="276"/>
      </w:pPr>
      <w:r>
        <w:rPr>
          <w:rFonts w:ascii="Arial" w:cs="Arial" w:eastAsia="Arial" w:hAnsi="Arial"/>
          <w:color w:val="1A0F0A"/>
          <w:sz w:val="22"/>
          <w:szCs w:val="22"/>
        </w:rPr>
        <w:t xml:space="preserve">With validated case studies from internal use and pilot clients, begin external sales to other agencies.</w:t>
      </w:r>
    </w:p>
    <w:p>
      <w:pPr>
        <w:spacing w:after="0" w:before="60"/>
      </w:pPr>
      <w:r>
        <w:t xml:space="preserve"/>
      </w:r>
    </w:p>
    <w:p>
      <w:pPr>
        <w:pStyle w:val="Heading3"/>
        <w:spacing w:after="80" w:before="240"/>
      </w:pPr>
      <w:r>
        <w:rPr>
          <w:rFonts w:ascii="Arial" w:cs="Arial" w:eastAsia="Arial" w:hAnsi="Arial"/>
          <w:b/>
          <w:bCs/>
          <w:color w:val="4A2210"/>
          <w:sz w:val="24"/>
          <w:szCs w:val="24"/>
        </w:rPr>
        <w:t xml:space="preserve">Primary sales channels</w:t>
      </w:r>
    </w:p>
    <w:p>
      <w:pPr>
        <w:pStyle w:val="ListParagraph"/>
        <w:numPr>
          <w:ilvl w:val="0"/>
          <w:numId w:val="2"/>
        </w:numPr>
        <w:spacing w:after="60" w:before="40"/>
      </w:pPr>
      <w:r>
        <w:rPr>
          <w:rFonts w:ascii="Arial" w:cs="Arial" w:eastAsia="Arial" w:hAnsi="Arial"/>
          <w:color w:val="1A0F0A"/>
          <w:sz w:val="22"/>
          <w:szCs w:val="22"/>
        </w:rPr>
        <w:t xml:space="preserve">Agency conferences and events: SMX, BrightonSEO, Marketing Week Live, Performance Marketing World. A 20-minute presentation with real performance data is your best lead generation.</w:t>
      </w:r>
    </w:p>
    <w:p>
      <w:pPr>
        <w:pStyle w:val="ListParagraph"/>
        <w:numPr>
          <w:ilvl w:val="0"/>
          <w:numId w:val="2"/>
        </w:numPr>
        <w:spacing w:after="60" w:before="40"/>
      </w:pPr>
      <w:r>
        <w:rPr>
          <w:rFonts w:ascii="Arial" w:cs="Arial" w:eastAsia="Arial" w:hAnsi="Arial"/>
          <w:color w:val="1A0F0A"/>
          <w:sz w:val="22"/>
          <w:szCs w:val="22"/>
        </w:rPr>
        <w:t xml:space="preserve">Content marketing: publish detailed case studies with specific numbers. 'How we reduced average CPA by 28% across 40 client accounts using AI optimisation' is a highly compelling piece for the target audience.</w:t>
      </w:r>
    </w:p>
    <w:p>
      <w:pPr>
        <w:pStyle w:val="ListParagraph"/>
        <w:numPr>
          <w:ilvl w:val="0"/>
          <w:numId w:val="2"/>
        </w:numPr>
        <w:spacing w:after="60" w:before="40"/>
      </w:pPr>
      <w:r>
        <w:rPr>
          <w:rFonts w:ascii="Arial" w:cs="Arial" w:eastAsia="Arial" w:hAnsi="Arial"/>
          <w:color w:val="1A0F0A"/>
          <w:sz w:val="22"/>
          <w:szCs w:val="22"/>
        </w:rPr>
        <w:t xml:space="preserve">LinkedIn outreach to agency MDs and Heads of Paid: personalised, specific to their agency size and verticals. Lead with the efficiency argument, not the technology.</w:t>
      </w:r>
    </w:p>
    <w:p>
      <w:pPr>
        <w:pStyle w:val="ListParagraph"/>
        <w:numPr>
          <w:ilvl w:val="0"/>
          <w:numId w:val="2"/>
        </w:numPr>
        <w:spacing w:after="60" w:before="40"/>
      </w:pPr>
      <w:r>
        <w:rPr>
          <w:rFonts w:ascii="Arial" w:cs="Arial" w:eastAsia="Arial" w:hAnsi="Arial"/>
          <w:color w:val="1A0F0A"/>
          <w:sz w:val="22"/>
          <w:szCs w:val="22"/>
        </w:rPr>
        <w:t xml:space="preserve">Referral programme: agencies who use the platform and see results will refer peers. Build a referral incentive (1–3 months free for both parties) into the pricing from launch.</w:t>
      </w:r>
    </w:p>
    <w:p>
      <w:pPr>
        <w:pStyle w:val="ListParagraph"/>
        <w:numPr>
          <w:ilvl w:val="0"/>
          <w:numId w:val="2"/>
        </w:numPr>
        <w:spacing w:after="60" w:before="40"/>
      </w:pPr>
      <w:r>
        <w:rPr>
          <w:rFonts w:ascii="Arial" w:cs="Arial" w:eastAsia="Arial" w:hAnsi="Arial"/>
          <w:color w:val="1A0F0A"/>
          <w:sz w:val="22"/>
          <w:szCs w:val="22"/>
        </w:rPr>
        <w:t xml:space="preserve">Google and Meta agency partner programmes: being a certified partner increases credibility and creates warm introductions from the platforms' agency success teams.</w:t>
      </w:r>
    </w:p>
    <w:p>
      <w:pPr>
        <w:spacing w:after="0" w:before="80"/>
      </w:pPr>
      <w:r>
        <w:t xml:space="preserve"/>
      </w:r>
    </w:p>
    <w:p>
      <w:pPr>
        <w:pStyle w:val="Heading2"/>
        <w:spacing w:after="120" w:before="320"/>
      </w:pPr>
      <w:r>
        <w:rPr>
          <w:rFonts w:ascii="Arial" w:cs="Arial" w:eastAsia="Arial" w:hAnsi="Arial"/>
          <w:b/>
          <w:bCs/>
          <w:color w:val="1A0F0A"/>
          <w:sz w:val="28"/>
          <w:szCs w:val="28"/>
        </w:rPr>
        <w:t xml:space="preserve">Milestones and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82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1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Month 3</w:t>
            </w:r>
          </w:p>
        </w:tc>
        <w:tc>
          <w:tcPr>
            <w:tcW w:type="dxa" w:w="8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Agent running on 10+ internal client accounts. Baseline performance data collected.</w:t>
            </w:r>
          </w:p>
        </w:tc>
      </w:tr>
      <w:tr>
        <w:tc>
          <w:tcPr>
            <w:tcW w:type="dxa" w:w="1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Month 5</w:t>
            </w:r>
          </w:p>
        </w:tc>
        <w:tc>
          <w:tcPr>
            <w:tcW w:type="dxa" w:w="8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Pilot live with 5 external clients. First 3 case studies documented with real numbers.</w:t>
            </w:r>
          </w:p>
        </w:tc>
      </w:tr>
      <w:tr>
        <w:tc>
          <w:tcPr>
            <w:tcW w:type="dxa" w:w="1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Month 7</w:t>
            </w:r>
          </w:p>
        </w:tc>
        <w:tc>
          <w:tcPr>
            <w:tcW w:type="dxa" w:w="8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20 paying external agency accounts. £15k+ MRR.</w:t>
            </w:r>
          </w:p>
        </w:tc>
      </w:tr>
      <w:tr>
        <w:tc>
          <w:tcPr>
            <w:tcW w:type="dxa" w:w="1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Month 12</w:t>
            </w:r>
          </w:p>
        </w:tc>
        <w:tc>
          <w:tcPr>
            <w:tcW w:type="dxa" w:w="8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100 paying accounts. £75k+ MRR. Agency partner programme memberships active.</w:t>
            </w:r>
          </w:p>
        </w:tc>
      </w:tr>
      <w:tr>
        <w:tc>
          <w:tcPr>
            <w:tcW w:type="dxa" w:w="18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Month 18</w:t>
            </w:r>
          </w:p>
        </w:tc>
        <w:tc>
          <w:tcPr>
            <w:tcW w:type="dxa" w:w="82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Enterprise clients (10+ seat, £500k+ managed spend). £200k+ MRR.</w:t>
            </w:r>
          </w:p>
        </w:tc>
      </w:tr>
      <w:tr>
        <w:tc>
          <w:tcPr>
            <w:tcW w:type="dxa" w:w="18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Month 24</w:t>
            </w:r>
          </w:p>
        </w:tc>
        <w:tc>
          <w:tcPr>
            <w:tcW w:type="dxa" w:w="82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Market-recognised as the leading AI optimisation layer for independent agencies.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10.  Competitive Positioning</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competitive landscape</w:t>
      </w:r>
    </w:p>
    <w:p>
      <w:pPr>
        <w:spacing w:after="100" w:before="60" w:line="276"/>
      </w:pPr>
      <w:r>
        <w:rPr>
          <w:rFonts w:ascii="Arial" w:cs="Arial" w:eastAsia="Arial" w:hAnsi="Arial"/>
          <w:color w:val="1A0F0A"/>
          <w:sz w:val="22"/>
          <w:szCs w:val="22"/>
        </w:rPr>
        <w:t xml:space="preserve">Several categories of tools exist in this space. Understanding where each sits — and why this platform is differentiated — is essential for sales conversations.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c>
          <w:tcPr>
            <w:tcW w:type="dxa" w:w="24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20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c>
          <w:tcPr>
            <w:tcW w:type="dxa" w:w="56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Why this platform wins</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Native platform tools (Meta Advantage+, Google Smart Bidding)</w:t>
            </w:r>
          </w:p>
        </w:tc>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Free, built-in, improving rapidly</w:t>
            </w:r>
          </w:p>
        </w:tc>
        <w:tc>
          <w:tcPr>
            <w:tcW w:type="dxa" w:w="5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They optimise within a single platform. No cross-platform intelligence, no human approval layer, no plain-English reasoning, no audit trail, no agency-level multi-account management.</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Rule-based optimisation tools (Optmyzr, Adalysis, Skai)</w:t>
            </w:r>
          </w:p>
        </w:tc>
        <w:tc>
          <w:tcPr>
            <w:tcW w:type="dxa" w:w="2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Established, rule-based, broad coverage</w:t>
            </w:r>
          </w:p>
        </w:tc>
        <w:tc>
          <w:tcPr>
            <w:tcW w:type="dxa" w:w="56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Rules are set manually and don't adapt. No LLM reasoning. No plain-English explanations. Not designed for AI-driven autonomous recommendations. Require significant configuration per account.</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Large platform-agnostic tools (Marin, Kenshoo/Skai)</w:t>
            </w:r>
          </w:p>
        </w:tc>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Enterprise-grade, comprehensive</w:t>
            </w:r>
          </w:p>
        </w:tc>
        <w:tc>
          <w:tcPr>
            <w:tcW w:type="dxa" w:w="5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Built for very large enterprise advertisers and holding companies. High cost, complex setup, not appropriate for independent agencies managing SME clients.</w:t>
            </w:r>
          </w:p>
        </w:tc>
      </w:tr>
      <w:tr>
        <w:tc>
          <w:tcPr>
            <w:tcW w:type="dxa" w:w="24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Agency-built internal tools</w:t>
            </w:r>
          </w:p>
        </w:tc>
        <w:tc>
          <w:tcPr>
            <w:tcW w:type="dxa" w:w="2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Custom, fit-for-purpose</w:t>
            </w:r>
          </w:p>
        </w:tc>
        <w:tc>
          <w:tcPr>
            <w:tcW w:type="dxa" w:w="56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val="false"/>
                <w:bCs w:val="false"/>
                <w:color w:val="1A0F0A"/>
                <w:sz w:val="19"/>
                <w:szCs w:val="19"/>
              </w:rPr>
              <w:t xml:space="preserve">Expensive to build and maintain. No AI reasoning layer. Inconsistent quality. This platform is the 'agency tool done right' at a fraction of the internal build cost.</w:t>
            </w:r>
          </w:p>
        </w:tc>
      </w:tr>
      <w:tr>
        <w:tc>
          <w:tcPr>
            <w:tcW w:type="dxa" w:w="24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This platform</w:t>
            </w:r>
          </w:p>
        </w:tc>
        <w:tc>
          <w:tcPr>
            <w:tcW w:type="dxa" w:w="2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AI-native, agency-optimised, cross-platform</w:t>
            </w:r>
          </w:p>
        </w:tc>
        <w:tc>
          <w:tcPr>
            <w:tcW w:type="dxa" w:w="56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val="false"/>
                <w:bCs w:val="false"/>
                <w:color w:val="1A0F0A"/>
                <w:sz w:val="19"/>
                <w:szCs w:val="19"/>
              </w:rPr>
              <w:t xml:space="preserve">LLM reasoning with plain-English explanations. Human approval layer. Auto-execution with guardrails. Cross-platform intelligence. Built for agencies managing multiple client accounts. Full audit trail.</w:t>
            </w:r>
          </w:p>
        </w:tc>
      </w:tr>
    </w:tbl>
    <w:p>
      <w:pPr>
        <w:spacing w:after="0" w:before="80"/>
      </w:pPr>
      <w:r>
        <w:t xml:space="preserve"/>
      </w:r>
    </w:p>
    <w:p>
      <w:pPr>
        <w:pStyle w:val="Heading2"/>
        <w:spacing w:after="120" w:before="320"/>
      </w:pPr>
      <w:r>
        <w:rPr>
          <w:rFonts w:ascii="Arial" w:cs="Arial" w:eastAsia="Arial" w:hAnsi="Arial"/>
          <w:b/>
          <w:bCs/>
          <w:color w:val="1A0F0A"/>
          <w:sz w:val="28"/>
          <w:szCs w:val="28"/>
        </w:rPr>
        <w:t xml:space="preserve">Our defensible differentiation</w:t>
      </w:r>
    </w:p>
    <w:p>
      <w:pPr>
        <w:pStyle w:val="ListParagraph"/>
        <w:numPr>
          <w:ilvl w:val="0"/>
          <w:numId w:val="2"/>
        </w:numPr>
        <w:spacing w:after="60" w:before="40"/>
      </w:pPr>
      <w:r>
        <w:rPr>
          <w:rFonts w:ascii="Arial" w:cs="Arial" w:eastAsia="Arial" w:hAnsi="Arial"/>
          <w:color w:val="1A0F0A"/>
          <w:sz w:val="22"/>
          <w:szCs w:val="22"/>
        </w:rPr>
        <w:t xml:space="preserve">Plain-English reasoning on every recommendation — not just 'increase bid on keyword X' but a full explanation of why, with supporting data. No other tool does this.</w:t>
      </w:r>
    </w:p>
    <w:p>
      <w:pPr>
        <w:pStyle w:val="ListParagraph"/>
        <w:numPr>
          <w:ilvl w:val="0"/>
          <w:numId w:val="2"/>
        </w:numPr>
        <w:spacing w:after="60" w:before="40"/>
      </w:pPr>
      <w:r>
        <w:rPr>
          <w:rFonts w:ascii="Arial" w:cs="Arial" w:eastAsia="Arial" w:hAnsi="Arial"/>
          <w:color w:val="1A0F0A"/>
          <w:sz w:val="22"/>
          <w:szCs w:val="22"/>
        </w:rPr>
        <w:t xml:space="preserve">Human-in-the-loop by design — the approval layer makes agencies comfortable with AI. It is a trust-building mechanism, not just a safety feature.</w:t>
      </w:r>
    </w:p>
    <w:p>
      <w:pPr>
        <w:pStyle w:val="ListParagraph"/>
        <w:numPr>
          <w:ilvl w:val="0"/>
          <w:numId w:val="2"/>
        </w:numPr>
        <w:spacing w:after="60" w:before="40"/>
      </w:pPr>
      <w:r>
        <w:rPr>
          <w:rFonts w:ascii="Arial" w:cs="Arial" w:eastAsia="Arial" w:hAnsi="Arial"/>
          <w:color w:val="1A0F0A"/>
          <w:sz w:val="22"/>
          <w:szCs w:val="22"/>
        </w:rPr>
        <w:t xml:space="preserve">Cross-platform intelligence — the ability to recommend budget shifts between Meta and Google based on relative performance is unique to this platform.</w:t>
      </w:r>
    </w:p>
    <w:p>
      <w:pPr>
        <w:pStyle w:val="ListParagraph"/>
        <w:numPr>
          <w:ilvl w:val="0"/>
          <w:numId w:val="2"/>
        </w:numPr>
        <w:spacing w:after="60" w:before="40"/>
      </w:pPr>
      <w:r>
        <w:rPr>
          <w:rFonts w:ascii="Arial" w:cs="Arial" w:eastAsia="Arial" w:hAnsi="Arial"/>
          <w:color w:val="1A0F0A"/>
          <w:sz w:val="22"/>
          <w:szCs w:val="22"/>
        </w:rPr>
        <w:t xml:space="preserve">Agency-native architecture — multi-tenant, multi-client, multi-user with role-based access and client-facing reporting is built in from the start.</w:t>
      </w:r>
    </w:p>
    <w:p>
      <w:pPr>
        <w:pStyle w:val="ListParagraph"/>
        <w:numPr>
          <w:ilvl w:val="0"/>
          <w:numId w:val="2"/>
        </w:numPr>
        <w:spacing w:after="60" w:before="40"/>
      </w:pPr>
      <w:r>
        <w:rPr>
          <w:rFonts w:ascii="Arial" w:cs="Arial" w:eastAsia="Arial" w:hAnsi="Arial"/>
          <w:color w:val="1A0F0A"/>
          <w:sz w:val="22"/>
          <w:szCs w:val="22"/>
        </w:rPr>
        <w:t xml:space="preserve">Full audit trail — every recommendation, approval, execution, and measured outcome is logged permanently. Essential for agencies managing significant client budgets.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622A" w:val="clear"/>
            <w:tcMar>
              <w:top w:type="dxa" w:w="110"/>
              <w:left w:type="dxa" w:w="220"/>
              <w:bottom w:type="dxa" w:w="110"/>
              <w:right w:type="dxa" w:w="220"/>
            </w:tcMar>
          </w:tcPr>
          <w:p>
            <w:r>
              <w:rPr>
                <w:rFonts w:ascii="Arial" w:cs="Arial" w:eastAsia="Arial" w:hAnsi="Arial"/>
                <w:b/>
                <w:bCs/>
                <w:color w:val="FFFFFF"/>
                <w:sz w:val="28"/>
                <w:szCs w:val="28"/>
              </w:rPr>
              <w:t xml:space="preserve">11.  Client Pitch Narrative</w:t>
            </w:r>
          </w:p>
        </w:tc>
      </w:tr>
    </w:tbl>
    <w:p>
      <w:pPr>
        <w:spacing w:after="0" w:before="100"/>
      </w:pPr>
      <w:r>
        <w:t xml:space="preserve"/>
      </w:r>
    </w:p>
    <w:p>
      <w:pPr>
        <w:pStyle w:val="Heading2"/>
        <w:spacing w:after="120" w:before="320"/>
      </w:pPr>
      <w:r>
        <w:rPr>
          <w:rFonts w:ascii="Arial" w:cs="Arial" w:eastAsia="Arial" w:hAnsi="Arial"/>
          <w:b/>
          <w:bCs/>
          <w:color w:val="1A0F0A"/>
          <w:sz w:val="28"/>
          <w:szCs w:val="28"/>
        </w:rPr>
        <w:t xml:space="preserve">The pitch to an agency MD — in their language</w:t>
      </w:r>
    </w:p>
    <w:p>
      <w:pPr>
        <w:spacing w:after="100" w:before="60" w:line="276"/>
      </w:pPr>
      <w:r>
        <w:rPr>
          <w:rFonts w:ascii="Arial" w:cs="Arial" w:eastAsia="Arial" w:hAnsi="Arial"/>
          <w:color w:val="1A0F0A"/>
          <w:sz w:val="22"/>
          <w:szCs w:val="22"/>
        </w:rPr>
        <w:t xml:space="preserve">This is not a technology pitch. It is an operational efficiency and client retention pitch. The MD of a digital agency does not want to know how the LLM works. They want to know if it will make their business more profitable and their clients happier.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622A" w:sz="8"/>
              <w:left w:val="single" w:color="E0CBB8" w:sz="1"/>
              <w:bottom w:val="single" w:color="E0CBB8" w:sz="1"/>
              <w:right w:val="single" w:color="E0CBB8" w:sz="1"/>
            </w:tcBorders>
            <w:shd w:fill="FFF4EE" w:val="clear"/>
            <w:tcMar>
              <w:top w:type="dxa" w:w="120"/>
              <w:left w:type="dxa" w:w="200"/>
              <w:bottom w:type="dxa" w:w="120"/>
              <w:right w:type="dxa" w:w="200"/>
            </w:tcMar>
          </w:tcPr>
          <w:p>
            <w:pPr>
              <w:spacing w:after="60" w:before="0"/>
            </w:pPr>
            <w:r>
              <w:rPr>
                <w:rFonts w:ascii="Arial" w:cs="Arial" w:eastAsia="Arial" w:hAnsi="Arial"/>
                <w:b/>
                <w:bCs/>
                <w:color w:val="E8622A"/>
                <w:sz w:val="22"/>
                <w:szCs w:val="22"/>
              </w:rPr>
              <w:t xml:space="preserve">The opening line</w:t>
            </w:r>
          </w:p>
          <w:p>
            <w:pPr>
              <w:spacing w:after="0" w:before="0"/>
            </w:pPr>
            <w:r>
              <w:rPr>
                <w:rFonts w:ascii="Arial" w:cs="Arial" w:eastAsia="Arial" w:hAnsi="Arial"/>
                <w:color w:val="1A0F0A"/>
                <w:sz w:val="22"/>
                <w:szCs w:val="22"/>
              </w:rPr>
              <w:t xml:space="preserve">Right now, your team is the system. Every optimisation decision, every budget change, every keyword pause runs through a human brain — and that brain can only be in one account at a time. We've built an AI layer that monitors every account you manage, every 30 minutes, and tells your team exactly what to do next — with the reasoning shown, with the numbers backing it up, with one click to approve and execute.</w:t>
            </w:r>
          </w:p>
        </w:tc>
      </w:tr>
    </w:tbl>
    <w:p>
      <w:pPr>
        <w:spacing w:after="0" w:before="80"/>
      </w:pPr>
      <w:r>
        <w:t xml:space="preserve"/>
      </w:r>
    </w:p>
    <w:p>
      <w:pPr>
        <w:pStyle w:val="Heading3"/>
        <w:spacing w:after="80" w:before="240"/>
      </w:pPr>
      <w:r>
        <w:rPr>
          <w:rFonts w:ascii="Arial" w:cs="Arial" w:eastAsia="Arial" w:hAnsi="Arial"/>
          <w:b/>
          <w:bCs/>
          <w:color w:val="4A2210"/>
          <w:sz w:val="24"/>
          <w:szCs w:val="24"/>
        </w:rPr>
        <w:t xml:space="preserve">The three-minute pitch structure</w:t>
      </w:r>
    </w:p>
    <w:p>
      <w:pPr>
        <w:pStyle w:val="ListParagraph"/>
        <w:numPr>
          <w:ilvl w:val="0"/>
          <w:numId w:val="3"/>
        </w:numPr>
        <w:spacing w:after="60" w:before="40"/>
      </w:pPr>
      <w:r>
        <w:rPr>
          <w:rFonts w:ascii="Arial" w:cs="Arial" w:eastAsia="Arial" w:hAnsi="Arial"/>
          <w:color w:val="1A0F0A"/>
          <w:sz w:val="22"/>
          <w:szCs w:val="22"/>
        </w:rPr>
        <w:t xml:space="preserve">The problem (30 seconds): Your team cannot be everywhere at once. Accounts are being optimised when your team gets to them — not when the data says they should be. Budget is wasting while the queue moves.</w:t>
      </w:r>
    </w:p>
    <w:p>
      <w:pPr>
        <w:pStyle w:val="ListParagraph"/>
        <w:numPr>
          <w:ilvl w:val="0"/>
          <w:numId w:val="3"/>
        </w:numPr>
        <w:spacing w:after="60" w:before="40"/>
      </w:pPr>
      <w:r>
        <w:rPr>
          <w:rFonts w:ascii="Arial" w:cs="Arial" w:eastAsia="Arial" w:hAnsi="Arial"/>
          <w:color w:val="1A0F0A"/>
          <w:sz w:val="22"/>
          <w:szCs w:val="22"/>
        </w:rPr>
        <w:t xml:space="preserve">The solution (60 seconds): This platform monitors every account continuously. When it spots an opportunity or a problem, it generates a specific recommendation with plain-English reasoning and sends it to your team to approve. If you trust it, you can let it execute automatically within limits you set.</w:t>
      </w:r>
    </w:p>
    <w:p>
      <w:pPr>
        <w:pStyle w:val="ListParagraph"/>
        <w:numPr>
          <w:ilvl w:val="0"/>
          <w:numId w:val="3"/>
        </w:numPr>
        <w:spacing w:after="60" w:before="40"/>
      </w:pPr>
      <w:r>
        <w:rPr>
          <w:rFonts w:ascii="Arial" w:cs="Arial" w:eastAsia="Arial" w:hAnsi="Arial"/>
          <w:color w:val="1A0F0A"/>
          <w:sz w:val="22"/>
          <w:szCs w:val="22"/>
        </w:rPr>
        <w:t xml:space="preserve">The proof (60 seconds): On our own agency's accounts, we have reduced average CPA by [X]%, recovered [£Y] of wasted spend per month, and freed each account manager to handle [Z] more accounts without quality degrading. The audit trail has also improved our client relationships — they can see exactly what we did and why.</w:t>
      </w:r>
    </w:p>
    <w:p>
      <w:pPr>
        <w:pStyle w:val="ListParagraph"/>
        <w:numPr>
          <w:ilvl w:val="0"/>
          <w:numId w:val="3"/>
        </w:numPr>
        <w:spacing w:after="60" w:before="40"/>
      </w:pPr>
      <w:r>
        <w:rPr>
          <w:rFonts w:ascii="Arial" w:cs="Arial" w:eastAsia="Arial" w:hAnsi="Arial"/>
          <w:color w:val="1A0F0A"/>
          <w:sz w:val="22"/>
          <w:szCs w:val="22"/>
        </w:rPr>
        <w:t xml:space="preserve">The ask (30 seconds): We're offering 3 agencies early access at a significant discount in exchange for feedback. If you manage more than £50k per month in ad spend across your clients, I'd like to show you a live demo on one of your accounts.</w:t>
      </w:r>
    </w:p>
    <w:p>
      <w:pPr>
        <w:spacing w:after="0" w:before="80"/>
      </w:pPr>
      <w:r>
        <w:t xml:space="preserve"/>
      </w:r>
    </w:p>
    <w:p>
      <w:pPr>
        <w:pStyle w:val="Heading3"/>
        <w:spacing w:after="80" w:before="240"/>
      </w:pPr>
      <w:r>
        <w:rPr>
          <w:rFonts w:ascii="Arial" w:cs="Arial" w:eastAsia="Arial" w:hAnsi="Arial"/>
          <w:b/>
          <w:bCs/>
          <w:color w:val="4A2210"/>
          <w:sz w:val="24"/>
          <w:szCs w:val="24"/>
        </w:rPr>
        <w:t xml:space="preserve">Objection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Objection</w:t>
            </w:r>
          </w:p>
        </w:tc>
        <w:tc>
          <w:tcPr>
            <w:tcW w:type="dxa" w:w="7080"/>
            <w:tcBorders>
              <w:top w:val="single" w:color="1A0F0A" w:sz="1"/>
              <w:left w:val="single" w:color="1A0F0A" w:sz="1"/>
              <w:bottom w:val="single" w:color="1A0F0A" w:sz="1"/>
              <w:right w:val="single" w:color="1A0F0A" w:sz="1"/>
            </w:tcBorders>
            <w:shd w:fill="1A0F0A"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'We already use Smart Bidding / Advantage+'</w:t>
            </w:r>
          </w:p>
        </w:tc>
        <w:tc>
          <w:tcPr>
            <w:tcW w:type="dxa" w:w="70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Those tools optimise within a single platform. They don't talk to each other. They don't give you reasoning. They don't alert your team. And they don't produce an audit trail for your clients.</w:t>
            </w:r>
          </w:p>
        </w:tc>
      </w:tr>
      <w:tr>
        <w:tc>
          <w:tcPr>
            <w:tcW w:type="dxa" w:w="3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'Our team is very experienced — they know what to do'</w:t>
            </w:r>
          </w:p>
        </w:tc>
        <w:tc>
          <w:tcPr>
            <w:tcW w:type="dxa" w:w="70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Exactly. The agent doesn't replace their expertise — it replaces their time spent monitoring. Your best people should be doing strategy, not checking dashboards every morning.</w:t>
            </w:r>
          </w:p>
        </w:tc>
      </w:tr>
      <w:tr>
        <w:tc>
          <w:tcPr>
            <w:tcW w:type="dxa" w:w="3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'What if it makes a bad recommendation?'</w:t>
            </w:r>
          </w:p>
        </w:tc>
        <w:tc>
          <w:tcPr>
            <w:tcW w:type="dxa" w:w="70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Every recommendation comes with plain-English reasoning and supporting data. Your team approves before anything executes. And the guardrails mean auto-execution is bounded — it cannot make a budget change more than 20% in a single action.</w:t>
            </w:r>
          </w:p>
        </w:tc>
      </w:tr>
      <w:tr>
        <w:tc>
          <w:tcPr>
            <w:tcW w:type="dxa" w:w="300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b/>
                <w:bCs/>
                <w:color w:val="E8622A"/>
                <w:sz w:val="19"/>
                <w:szCs w:val="19"/>
              </w:rPr>
              <w:t xml:space="preserve">'We've tried automation tools before and they didn't work'</w:t>
            </w:r>
          </w:p>
        </w:tc>
        <w:tc>
          <w:tcPr>
            <w:tcW w:type="dxa" w:w="7080"/>
            <w:tcBorders>
              <w:top w:val="single" w:color="E0CBB8" w:sz="1"/>
              <w:left w:val="single" w:color="E0CBB8" w:sz="1"/>
              <w:bottom w:val="single" w:color="E0CBB8" w:sz="1"/>
              <w:right w:val="single" w:color="E0CBB8" w:sz="1"/>
            </w:tcBorders>
            <w:shd w:fill="FAF7F5" w:val="clear"/>
            <w:tcMar>
              <w:top w:type="dxa" w:w="80"/>
              <w:left w:type="dxa" w:w="120"/>
              <w:bottom w:type="dxa" w:w="80"/>
              <w:right w:type="dxa" w:w="120"/>
            </w:tcMar>
          </w:tcPr>
          <w:p>
            <w:r>
              <w:rPr>
                <w:rFonts w:ascii="Arial" w:cs="Arial" w:eastAsia="Arial" w:hAnsi="Arial"/>
                <w:color w:val="1A0F0A"/>
                <w:sz w:val="19"/>
                <w:szCs w:val="19"/>
              </w:rPr>
              <w:t xml:space="preserve">Rule-based tools require someone to write the rules, and the rules go stale. This uses an LLM that reasons about the specific context of each account against its specific goals — not generic rules.</w:t>
            </w:r>
          </w:p>
        </w:tc>
      </w:tr>
      <w:tr>
        <w:tc>
          <w:tcPr>
            <w:tcW w:type="dxa" w:w="300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b/>
                <w:bCs/>
                <w:color w:val="E8622A"/>
                <w:sz w:val="19"/>
                <w:szCs w:val="19"/>
              </w:rPr>
              <w:t xml:space="preserve">'What's the ROI?'</w:t>
            </w:r>
          </w:p>
        </w:tc>
        <w:tc>
          <w:tcPr>
            <w:tcW w:type="dxa" w:w="7080"/>
            <w:tcBorders>
              <w:top w:val="single" w:color="E0CBB8" w:sz="1"/>
              <w:left w:val="single" w:color="E0CBB8" w:sz="1"/>
              <w:bottom w:val="single" w:color="E0CBB8" w:sz="1"/>
              <w:right w:val="single" w:color="E0CBB8" w:sz="1"/>
            </w:tcBorders>
            <w:shd w:fill="FFFFFF" w:val="clear"/>
            <w:tcMar>
              <w:top w:type="dxa" w:w="80"/>
              <w:left w:type="dxa" w:w="120"/>
              <w:bottom w:type="dxa" w:w="80"/>
              <w:right w:type="dxa" w:w="120"/>
            </w:tcMar>
          </w:tcPr>
          <w:p>
            <w:r>
              <w:rPr>
                <w:rFonts w:ascii="Arial" w:cs="Arial" w:eastAsia="Arial" w:hAnsi="Arial"/>
                <w:color w:val="1A0F0A"/>
                <w:sz w:val="19"/>
                <w:szCs w:val="19"/>
              </w:rPr>
              <w:t xml:space="preserve">If your average account manager handles 10 accounts at £5k/month fees each, and this platform allows them to handle 40 accounts at the same quality, that's 30 additional accounts per manager. At £5k/month, that's £150k additional revenue per manager before adding headcount.</w:t>
            </w:r>
          </w:p>
        </w:tc>
      </w:tr>
    </w:tbl>
    <w:p>
      <w:pPr>
        <w:spacing w:after="0" w:before="160"/>
      </w:pPr>
      <w:r>
        <w:t xml:space="preserve"/>
      </w:r>
    </w:p>
    <w:p>
      <w:pPr>
        <w:spacing w:after="0" w:before="200"/>
        <w:jc w:val="center"/>
      </w:pPr>
      <w:r>
        <w:rPr>
          <w:rFonts w:ascii="Arial" w:cs="Arial" w:eastAsia="Arial" w:hAnsi="Arial"/>
          <w:i/>
          <w:iCs/>
          <w:color w:val="8A7060"/>
          <w:sz w:val="20"/>
          <w:szCs w:val="20"/>
        </w:rPr>
        <w:t xml:space="preserve">— End of Marketing Strategy &amp; Business Case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80"/>
      <w:gridCol w:w="1400"/>
    </w:tblGrid>
    <w:tr>
      <w:tc>
        <w:tcPr>
          <w:tcW w:type="dxa" w:w="8680"/>
          <w:tcBorders>
            <w:top w:val="single" w:color="E0CBB8" w:sz="1"/>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8A7060"/>
              <w:sz w:val="18"/>
              <w:szCs w:val="18"/>
            </w:rPr>
            <w:t xml:space="preserve">Version 1.0  |  For Internal Strategy &amp; Sales Use</w:t>
          </w:r>
        </w:p>
      </w:tc>
      <w:tc>
        <w:tcPr>
          <w:tcW w:type="dxa" w:w="1400"/>
          <w:tcBorders>
            <w:top w:val="single" w:color="E0CBB8" w:sz="1"/>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8A7060"/>
              <w:sz w:val="18"/>
              <w:szCs w:val="18"/>
            </w:rPr>
            <w:t xml:space="preserve">Marketing Specification</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E8622A" w:sz="4"/>
            <w:right w:val="none" w:color="FFFFFF" w:sz="0"/>
          </w:tcBorders>
          <w:tcMar>
            <w:top w:type="dxa" w:w="60"/>
            <w:left w:type="dxa" w:w="0"/>
            <w:bottom w:type="dxa" w:w="60"/>
            <w:right w:type="dxa" w:w="0"/>
          </w:tcMar>
        </w:tcPr>
        <w:p>
          <w:r>
            <w:rPr>
              <w:rFonts w:ascii="Arial" w:cs="Arial" w:eastAsia="Arial" w:hAnsi="Arial"/>
              <w:color w:val="8A7060"/>
              <w:sz w:val="18"/>
              <w:szCs w:val="18"/>
            </w:rPr>
            <w:t xml:space="preserve">Ads Optimisation Agent — Marketing Strategy &amp; Business Case</w:t>
          </w:r>
        </w:p>
      </w:tc>
      <w:tc>
        <w:tcPr>
          <w:tcW w:type="dxa" w:w="2200"/>
          <w:tcBorders>
            <w:top w:val="none" w:color="FFFFFF" w:sz="0"/>
            <w:left w:val="none" w:color="FFFFFF" w:sz="0"/>
            <w:bottom w:val="single" w:color="E8622A" w:sz="4"/>
            <w:right w:val="none" w:color="FFFFFF" w:sz="0"/>
          </w:tcBorders>
          <w:tcMar>
            <w:top w:type="dxa" w:w="60"/>
            <w:left w:type="dxa" w:w="0"/>
            <w:bottom w:type="dxa" w:w="60"/>
            <w:right w:type="dxa" w:w="0"/>
          </w:tcMar>
        </w:tcPr>
        <w:p>
          <w:pPr>
            <w:jc w:val="right"/>
          </w:pPr>
          <w:r>
            <w:rPr>
              <w:rFonts w:ascii="Arial" w:cs="Arial" w:eastAsia="Arial" w:hAnsi="Arial"/>
              <w:b/>
              <w:bCs/>
              <w:color w:val="E8622A"/>
              <w:sz w:val="18"/>
              <w:szCs w:val="18"/>
            </w:rPr>
            <w:t xml:space="preserve">Internal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8"/>
      <w:szCs w:val="38"/>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2026-05-20T15:05:35.196Z</dcterms:created>
  <dcterms:modified xsi:type="dcterms:W3CDTF">2026-05-20T15:05:35.196Z</dcterms:modified>
</cp:coreProperties>
</file>

<file path=docProps/custom.xml><?xml version="1.0" encoding="utf-8"?>
<Properties xmlns="http://schemas.openxmlformats.org/officeDocument/2006/custom-properties" xmlns:vt="http://schemas.openxmlformats.org/officeDocument/2006/docPropsVTypes"/>
</file>