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0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should be the minimum interval between the administration of</w:t>
              <w:br w:type="textWrapping"/>
              <w:br w:type="textWrapping"/>
              <w:t xml:space="preserve">two live vaccines?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34417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327400" cy="34417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weeks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8 weeks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4 weeks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12 weeks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minimum interval between the administration of two live vaccines is 4 weeks.</w:t>
              <w:br w:type="textWrapping"/>
              <w:br w:type="textWrapping"/>
              <w:t xml:space="preserve">This is because decreasing the interval between two doses may interfere with the antibody response and protection. Thus, live</w:t>
              <w:br w:type="textWrapping"/>
              <w:br w:type="textWrapping"/>
              <w:t xml:space="preserve">vaccines can either be given on the same day according to the schedule or 4 weeks apart.</w:t>
              <w:br w:type="textWrapping"/>
              <w:br w:type="textWrapping"/>
              <w:t xml:space="preserve">Note: In Park 27th ed. the minimum interval between two live vaccines is given as 3 weeks. However, several other standard</w:t>
              <w:br w:type="textWrapping"/>
              <w:br w:type="textWrapping"/>
              <w:t xml:space="preserve">sources including CDC and UNDP suggested an interval of 4 weeks. When both are given in options, it is recommended to</w:t>
              <w:br w:type="textWrapping"/>
              <w:br w:type="textWrapping"/>
              <w:t xml:space="preserve">mark 4 weeks as the correct answer.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8">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1C">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amount of bleaching powder required to disinfect 455</w:t>
              <w:br w:type="textWrapping"/>
              <w:br w:type="textWrapping"/>
              <w:t xml:space="preserve">litres of water if the 4th, 5th, and 6th cups of a Horrock's apparatus</w:t>
              <w:br w:type="textWrapping"/>
              <w:br w:type="textWrapping"/>
              <w:t xml:space="preserve">show distinct blue color?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grams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4 grams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8 grams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6 grams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dose of bleaching powder required is 8 grams.</w:t>
              <w:br w:type="textWrapping"/>
              <w:t xml:space="preserve">It is given by (n x 2) gms for 455 litres of water, where n is the number of the first cup that shows distinct blue color. In this</w:t>
              <w:br w:type="textWrapping"/>
              <w:t xml:space="preserve">scenario, the dose of bleaching powder required to disinfect 455 litres of water Is (4 x 2) = 8grams. Horrock's Apparatus is used to estimate the chlorine demand of water.</w:t>
              <w:br w:type="textWrapping"/>
              <w:br w:type="textWrapping"/>
              <w:t xml:space="preserve">. This is widely used in the disinfection of wells to find out how much bleaching powder Is required.</w:t>
              <w:br w:type="textWrapping"/>
              <w:br w:type="textWrapping"/>
              <w:t xml:space="preserve">. Contents of this water-testing apparatus:</w:t>
              <w:br w:type="textWrapping"/>
              <w:br w:type="textWrapping"/>
              <w:t xml:space="preserve">. 6 white cups of 200 ml cach and one black cup with a circular mark</w:t>
              <w:br w:type="textWrapping"/>
              <w:br w:type="textWrapping"/>
              <w:t xml:space="preserve">" 2 metal spoons (each holds 2g of bleaching powder)</w:t>
              <w:br w:type="textWrapping"/>
              <w:br w:type="textWrapping"/>
              <w:t xml:space="preserve">¢ 7 glass stirring rods and 1 special pipette</w:t>
              <w:br w:type="textWrapping"/>
              <w:br w:type="textWrapping"/>
              <w:t xml:space="preserve">· Two droppers</w:t>
              <w:br w:type="textWrapping"/>
              <w:br w:type="textWrapping"/>
              <w:t xml:space="preserve">a Starch-lodide Indicator solution</w:t>
              <w:br w:type="textWrapping"/>
              <w:br w:type="textWrapping"/>
              <w:t xml:space="preserve">· Procedure:</w:t>
              <w:br w:type="textWrapping"/>
              <w:br w:type="textWrapping"/>
              <w:t xml:space="preserve">Use 2g of bleaching powder to create a thin paste in the black cup, It is now called the Chlorine stock solution,</w:t>
              <w:br w:type="textWrapping"/>
              <w:br w:type="textWrapping"/>
              <w:t xml:space="preserve">. The six white cups are filed with the water to be tested</w:t>
              <w:br w:type="textWrapping"/>
              <w:br w:type="textWrapping"/>
              <w:t xml:space="preserve">. Add one drop of the stock solution to the 1ª1 cup, two drops to the 2nd cup, three drops to the 3rd cup, and so on till</w:t>
              <w:br w:type="textWrapping"/>
              <w:br w:type="textWrapping"/>
              <w:t xml:space="preserve">adding six drops to the 617 cup.</w:t>
              <w:br w:type="textWrapping"/>
              <w:br w:type="textWrapping"/>
              <w:t xml:space="preserve">a Stir the cups and wait for half an hour.</w:t>
              <w:br w:type="textWrapping"/>
              <w:br w:type="textWrapping"/>
              <w:t xml:space="preserve">. Add 3 drops of starch-iodide indicator to each cup</w:t>
              <w:br w:type="textWrapping"/>
              <w:br w:type="textWrapping"/>
              <w:t xml:space="preserve">Development of blue color in the apparatus indicates free residual chlorine.</w:t>
              <w:br w:type="textWrapping"/>
              <w:br w:type="textWrapping"/>
              <w:t xml:space="preserve">The first cup which develops this color gives an estimate of the amount of bleaching powder needed to disinfect</w:t>
              <w:br w:type="textWrapping"/>
              <w:br w:type="textWrapping"/>
              <w:t xml:space="preserve">455 Litres of the sample water.</w:t>
              <w:br w:type="textWrapping"/>
              <w:br w:type="textWrapping"/>
              <w:t xml:space="preserve">. Chlorine demand or the dose of bleaching powder required is given by (n x 2) g for 455 liters of water, i.c., (n x 2) g</w:t>
              <w:br w:type="textWrapping"/>
              <w:br w:type="textWrapping"/>
              <w:t xml:space="preserve">of bleaching powder is required to disinfect 455 liters of water. Here, n represents the position of the cup (1, 2, 3, elc.)</w:t>
              <w:br w:type="textWrapping"/>
              <w:br w:type="textWrapping"/>
              <w:t xml:space="preserve">that was first to show a distinct blue color.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3441700"/>
                  <wp:effectExtent b="0" l="0" r="0" t="0"/>
                  <wp:docPr id="1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327400" cy="34417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0">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Which of the following is true about the standard normal distribution?</w:t>
              <w:br w:type="textWrapping"/>
              <w:br w:type="textWrapping"/>
              <w:t xml:space="preserve">1. It has a mean of 1.0</w:t>
              <w:br w:type="textWrapping"/>
              <w:br w:type="textWrapping"/>
              <w:t xml:space="preserve">2. It is bell shaped</w:t>
              <w:br w:type="textWrapping"/>
              <w:br w:type="textWrapping"/>
              <w:t xml:space="preserve">3. It has a standard deviation of 0.0</w:t>
              <w:br w:type="textWrapping"/>
              <w:br w:type="textWrapping"/>
              <w:t xml:space="preserve">4. It has a variance of 1.0</w:t>
              <w:br w:type="textWrapping"/>
              <w:br w:type="textWrapping"/>
              <w:t xml:space="preserve">5. Standard deviation - variance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and 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1 and 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2 and 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2, 4 and 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standard normal distribution is a type of normal distribution. It is bell-shaped, has a mean of 0 and a standard deviation</w:t>
              <w:br w:type="textWrapping"/>
              <w:br w:type="textWrapping"/>
              <w:t xml:space="preserve">of 1. Thus the variance, the square of standard deviation is also 1 = the standard deviation.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44958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327400" cy="44958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C">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0">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According to Wechsler's scale, which of the following persons would</w:t>
              <w:br w:type="textWrapping"/>
              <w:br w:type="textWrapping"/>
              <w:t xml:space="preserve">be categorized to have average intelligence?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child whose IQ Is 125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A teacher whose I2 Is 115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Abanker with an IQ of 95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An alcoholic man with an IQ of 85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According to the Wechsler's Scale, average intelligence would fall in the range of 91-110.The intelligence quotient is a score that can be obtained from several standardized tests to assess human</w:t>
              <w:br w:type="textWrapping"/>
              <w:br w:type="textWrapping"/>
              <w:t xml:space="preserve">intelligence.</w:t>
              <w:br w:type="textWrapping"/>
              <w:br w:type="textWrapping"/>
              <w:t xml:space="preserve">. Historically, IQ = Mental age x 100/ Chronological age</w:t>
              <w:br w:type="textWrapping"/>
              <w:br w:type="textWrapping"/>
              <w:t xml:space="preserve">. Here, the mental age is obtained from intelligence tests.</w:t>
              <w:br w:type="textWrapping"/>
              <w:br w:type="textWrapping"/>
              <w:t xml:space="preserve">. Higher the IQ, the more brilliant is the person.</w:t>
              <w:br w:type="textWrapping"/>
              <w:br w:type="textWrapping"/>
              <w:t xml:space="preserve">. Classification of IQ according to Levine and Marks (1928)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6464300"/>
                  <wp:effectExtent b="0" l="0" r="0" t="0"/>
                  <wp:docPr id="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327400" cy="64643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4">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6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Which of the following is correct about the classification of malaria</w:t>
              <w:br w:type="textWrapping"/>
              <w:br w:type="textWrapping"/>
              <w:t xml:space="preserve">endemic states under the National Strategic Plan for Malaria?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states dassified under Category D</w:t>
              <w:br w:type="textWrapping"/>
              <w:br w:type="textWrapping"/>
              <w:t xml:space="preserve">are In the elimination phase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The statos with API $1 and all their</w:t>
              <w:br w:type="textWrapping"/>
              <w:br w:type="textWrapping"/>
              <w:t xml:space="preserve">districts reporting API $1 are in the</w:t>
              <w:br w:type="textWrapping"/>
              <w:br w:type="textWrapping"/>
              <w:t xml:space="preserve">eliminalion phase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The states with districts reporting API in</w:t>
              <w:br w:type="textWrapping"/>
              <w:br w:type="textWrapping"/>
              <w:t xml:space="preserve">between 1-2 per 1000 population are In the</w:t>
              <w:br w:type="textWrapping"/>
              <w:br w:type="textWrapping"/>
              <w:t xml:space="preserve">elimination phase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The states classified under category 2</w:t>
              <w:br w:type="textWrapping"/>
              <w:br w:type="textWrapping"/>
              <w:t xml:space="preserve">are in the phase of intensified control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National Strategic Plan for Malaria classifies the states under Category 1 of the NVBDCP to be in the elimination phase.</w:t>
              <w:br w:type="textWrapping"/>
              <w:br w:type="textWrapping"/>
              <w:t xml:space="preserve">Category 1 states are all states/UTs with API &lt;1 and all their districts reporting API &lt;1.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36576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327400" cy="36576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E">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0">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4">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patient is diagnosed to have an allergy to eggs. Administration of</w:t>
              <w:br w:type="textWrapping"/>
              <w:br w:type="textWrapping"/>
              <w:t xml:space="preserve">which of the following vaccines is contraindicated in this patient?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Pneumococcal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MMR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Varicella</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Influenza</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Influenza and yellow fever vaccines are contraindicated in patients having an allergy to eggs.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4470400"/>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327400" cy="44704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8">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E">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According to Globocan 2020 India, which of the following are the</w:t>
              <w:br w:type="textWrapping"/>
              <w:br w:type="textWrapping"/>
              <w:t xml:space="preserve">most common malignancies among men and women respectively?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 lung and Ca cervix</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Ca lung and Ca breast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Ca oral cavity and Ca breast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Ca colon and Ca cervix</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According to Globocan 2020 Indla data, the most common malignancy among man la cancer llp and oral cavity, and</w:t>
              <w:br w:type="textWrapping"/>
              <w:br w:type="textWrapping"/>
              <w:t xml:space="preserve">among women is cancer breast</w:t>
              <w:br w:type="textWrapping"/>
              <w:br w:type="textWrapping"/>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27178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327400" cy="27178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4">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8">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Which of the following is the most common cause of blindness in</w:t>
              <w:br w:type="textWrapping"/>
              <w:br w:type="textWrapping"/>
              <w:t xml:space="preserve">India?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Refractive error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Cataract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Diabetic retinopathy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Trachomatous corneal opacity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According to the National Survey on Blindness (2015-2019), cataract is the most common cause of blindness in India</w:t>
              <w:br w:type="textWrapping"/>
              <w:br w:type="textWrapping"/>
              <w:t xml:space="preserve">accounting for 66.2% of the total cases.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C">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0">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student was making a presentation with charts but lost titles while</w:t>
              <w:br w:type="textWrapping"/>
              <w:br w:type="textWrapping"/>
              <w:t xml:space="preserve">editing. What could be the heading for the following chart?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Physical Quality of Life Index</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Multidimensional Poverty Index</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Disability-adjusted life years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Human Development Index</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index that is calculated using the given indicators such as life expectancy at birth, mean and expected years of</w:t>
              <w:br w:type="textWrapping"/>
              <w:br w:type="textWrapping"/>
              <w:t xml:space="preserve">schooling, and the per capita income, is the Human Development Index (HDI).</w:t>
              <w:br w:type="textWrapping"/>
              <w:br w:type="textWrapping"/>
              <w:t xml:space="preserve">Human Development Index (HDI) is defined as a composite index focusing on three basic dimensions of human development.</w:t>
              <w:br w:type="textWrapping"/>
              <w:br w:type="textWrapping"/>
              <w:t xml:space="preserve">It assesses abilities</w:t>
              <w:br w:type="textWrapping"/>
              <w:br w:type="textWrapping"/>
              <w:t xml:space="preserve">. To lead a healthy, long life, measured by life expectancy at birth</w:t>
              <w:br w:type="textWrapping"/>
              <w:br w:type="textWrapping"/>
              <w:t xml:space="preserve">. To acquire knowledge, measured by the mean years of schooling</w:t>
              <w:br w:type="textWrapping"/>
              <w:br w:type="textWrapping"/>
              <w:t xml:space="preserve">. To achieve a decent standard of living, measured by gross national income per capita</w:t>
              <w:br w:type="textWrapping"/>
              <w:br w:type="textWrapping"/>
              <w:t xml:space="preserve">Hence, the 3-dimensional indices used to calculate the human development index are as follows life expectancy index,</w:t>
              <w:br w:type="textWrapping"/>
              <w:br w:type="textWrapping"/>
              <w:t xml:space="preserve">education index, and gross national index."</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1714500"/>
                  <wp:effectExtent b="0" l="0" r="0" t="0"/>
                  <wp:docPr id="1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327400" cy="17145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4">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"Which of the following is the correct ascending order of the</w:t>
              <w:br w:type="textWrapping"/>
              <w:br w:type="textWrapping"/>
              <w:t xml:space="preserve">Maslow's hierarchy of needs?"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Safety, self-actualization, belonging,</w:t>
              <w:br w:type="textWrapping"/>
              <w:br w:type="textWrapping"/>
              <w:t xml:space="preserve">esteem, physiological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Safety, physiological, belonging, esteem,</w:t>
              <w:br w:type="textWrapping"/>
              <w:br w:type="textWrapping"/>
              <w:t xml:space="preserve">self-actualization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Belonging, physiological, safety, self-</w:t>
              <w:br w:type="textWrapping"/>
              <w:br w:type="textWrapping"/>
              <w:t xml:space="preserve">actualization, esteem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Physiological, safety, belonging, esteem,</w:t>
              <w:br w:type="textWrapping"/>
              <w:br w:type="textWrapping"/>
              <w:t xml:space="preserve">self-actualization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Maslow's hierarchy of needs was suggested by psychologist Abraham Maslow. It is a motivational theory in psychology</w:t>
              <w:br w:type="textWrapping"/>
              <w:br w:type="textWrapping"/>
              <w:t xml:space="preserve">where human needs are arranged according to hierarchy in a five-level pyramid.</w:t>
              <w:br w:type="textWrapping"/>
              <w:br w:type="textWrapping"/>
              <w:t xml:space="preserve">He suggested that the higher needs can be fulfilled only once the lower needs are fulfilled.</w:t>
              <w:br w:type="textWrapping"/>
              <w:br w:type="textWrapping"/>
              <w:t xml:space="preserve">The ascending order of the needs is shown in the image below.</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5816600"/>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327400" cy="58166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E">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0">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4">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school health programs are managed by which of the following?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health center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District hospital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Sub-centre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Sub-divisional hospital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school health programs are managed by the primary health center (PHC).</w:t>
              <w:br w:type="textWrapping"/>
              <w:br w:type="textWrapping"/>
              <w:t xml:space="preserve">The School Health Committee (1961) in India recommended that the school health services should be a part of the general</w:t>
              <w:br w:type="textWrapping"/>
              <w:br w:type="textWrapping"/>
              <w:t xml:space="preserve">health services administered through PHCs. Formation of school health committees at the village, block, district, state, and</w:t>
              <w:br w:type="textWrapping"/>
              <w:br w:type="textWrapping"/>
              <w:t xml:space="preserve">national levels was recommended. The National School Health Council was created as an advisory and coordinating body.</w:t>
              <w:br w:type="textWrapping"/>
              <w:br w:type="textWrapping"/>
              <w:t xml:space="preserve">PHCs provide the following school health services:</w:t>
              <w:br w:type="textWrapping"/>
              <w:br w:type="textWrapping"/>
              <w:t xml:space="preserve">. Screening and general assessments for -</w:t>
              <w:br w:type="textWrapping"/>
              <w:br w:type="textWrapping"/>
              <w:t xml:space="preserve">· Anemia/nutritional status</w:t>
              <w:br w:type="textWrapping"/>
              <w:br w:type="textWrapping"/>
              <w:t xml:space="preserve">. Visual acuity and hearing problems</w:t>
              <w:br w:type="textWrapping"/>
              <w:br w:type="textWrapping"/>
              <w:t xml:space="preserve">· Dental check-up</w:t>
              <w:br w:type="textWrapping"/>
              <w:br w:type="textWrapping"/>
              <w:t xml:space="preserve">· Physical disabilities</w:t>
              <w:br w:type="textWrapping"/>
              <w:br w:type="textWrapping"/>
              <w:t xml:space="preserve">· Learning disorders and behavior problems</w:t>
              <w:br w:type="textWrapping"/>
              <w:br w:type="textWrapping"/>
              <w:t xml:space="preserve">. Basic medicines for common ailments</w:t>
              <w:br w:type="textWrapping"/>
              <w:br w:type="textWrapping"/>
              <w:t xml:space="preserve">· Immunization</w:t>
              <w:br w:type="textWrapping"/>
              <w:br w:type="textWrapping"/>
              <w:t xml:space="preserve">. Micronutrient management (vitamin A, iron, and folic acid)</w:t>
              <w:br w:type="textWrapping"/>
              <w:br w:type="textWrapping"/>
              <w:t xml:space="preserve">- Deworming</w:t>
              <w:br w:type="textWrapping"/>
              <w:br w:type="textWrapping"/>
              <w:t xml:space="preserve">· Mid-day meal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8">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C">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bone marrow density along with the gestational age is plotted</w:t>
              <w:br w:type="textWrapping"/>
              <w:br w:type="textWrapping"/>
              <w:t xml:space="preserve">from two different studies. Which of the following is true for the relation</w:t>
              <w:br w:type="textWrapping"/>
              <w:br w:type="textWrapping"/>
              <w:t xml:space="preserve">between bone marrow density and gestational age?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58801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327400" cy="5880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Strength of correlation is same in A and B</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Strength of the correlation is more in A</w:t>
              <w:br w:type="textWrapping"/>
              <w:br w:type="textWrapping"/>
              <w:t xml:space="preserve">than in B</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Strength of the correlation is more in A</w:t>
              <w:br w:type="textWrapping"/>
              <w:br w:type="textWrapping"/>
              <w:t xml:space="preserve">than in B</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Strength of the variation is more in B</w:t>
              <w:br w:type="textWrapping"/>
              <w:t xml:space="preserve">than A</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strength of the correlation is more in graph A than in graph B.</w:t>
              <w:br w:type="textWrapping"/>
              <w:br w:type="textWrapping"/>
              <w:t xml:space="preserve">Graphs A and B show a positive correlation between bone marrow density and gestational age.</w:t>
              <w:br w:type="textWrapping"/>
              <w:br w:type="textWrapping"/>
              <w:t xml:space="preserve">In graph A: The data points in the scattergram are closer to the line of best fit, indicating a strong correlation.</w:t>
              <w:br w:type="textWrapping"/>
              <w:br w:type="textWrapping"/>
              <w:t xml:space="preserve">In graph B: The data points are scattered farther away from the line of best fit, indicating a weak correlation.</w:t>
              <w:br w:type="textWrapping"/>
              <w:br w:type="textWrapping"/>
              <w:t xml:space="preserve">Therefore, the strength of the correlation is more in graph A than B.</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0">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Which is the new online software launched under the national</w:t>
              <w:br w:type="textWrapping"/>
              <w:br w:type="textWrapping"/>
              <w:t xml:space="preserve">tuberculosis elimination program (NTEP) by the government to monitor</w:t>
              <w:br w:type="textWrapping"/>
              <w:br w:type="textWrapping"/>
              <w:t xml:space="preserve">TB patients?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NIKSHAY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NISCHAY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E-DOTS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NIKUSTH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Nikshay is the new online software launched under the national tuberculosis elimination program for monitoring TB patients.</w:t>
              <w:br w:type="textWrapping"/>
              <w:br w:type="textWrapping"/>
              <w:t xml:space="preserve">Nikusth is the new online software for monitoring leprosy patients.</w:t>
              <w:br w:type="textWrapping"/>
              <w:br w:type="textWrapping"/>
              <w:t xml:space="preserve">Nischay is a pregnancy test kit.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8">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E">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Contraceptive failure is assessed using which of the following</w:t>
              <w:br w:type="textWrapping"/>
              <w:br w:type="textWrapping"/>
              <w:t xml:space="preserve">methods?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Pharmacological Index</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Pearl Index</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Performance index</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Efficacy index</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Pearl index is the common method used to measure contraceptive failure rate.</w:t>
              <w:br w:type="textWrapping"/>
              <w:br w:type="textWrapping"/>
              <w:t xml:space="preserve">It is defined as the number of failures per 100 woman-years of exposure (HWY). This rate is given by the formula:</w:t>
              <w:br w:type="textWrapping"/>
              <w:br w:type="textWrapping"/>
              <w:t xml:space="preserve">Pearl index = Total accidental pregnancies x 1200/Total months of exposure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42291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327400" cy="4229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4">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8">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Kaplan Meier survival curve, the bands used for the confidence</w:t>
              <w:br w:type="textWrapping"/>
              <w:br w:type="textWrapping"/>
              <w:t xml:space="preserve">interval is?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Unequal precision band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Hirshberg band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Holmes band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Hall-Wellner Band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bands used for confidence interval in the Kaplan-Meier survival curve are Hall-Wellner bands.</w:t>
              <w:br w:type="textWrapping"/>
              <w:br w:type="textWrapping"/>
              <w:t xml:space="preserve">When using standard statistical software, at each point in time, the upper and lower limits of the confidence interval are also</w:t>
              <w:br w:type="textWrapping"/>
              <w:br w:type="textWrapping"/>
              <w:t xml:space="preserve">obtained. Hall-Wellner bands, Gill bands, and Nair's Equal Precision confidence bands are used for this purpose.</w:t>
              <w:br w:type="textWrapping"/>
              <w:br w:type="textWrapping"/>
              <w:t xml:space="preserve">Kaplan-Meier plot is a graphical representation of the number of people surviving during a given length of time. Often there</w:t>
              <w:br w:type="textWrapping"/>
              <w:br w:type="textWrapping"/>
              <w:t xml:space="preserve">are two or more groups represented in the plot, such as those treated versus those not treated. The graph often has a</w:t>
              <w:br w:type="textWrapping"/>
              <w:br w:type="textWrapping"/>
              <w:t xml:space="preserve">number of steps as the number of people surviving is a discrete variable. The image given below shows a Kaplan-Meier plot.</w:t>
              <w:br w:type="textWrapping"/>
              <w:br w:type="textWrapping"/>
              <w:t xml:space="preserve">The dotted lines represent the upper and lower limits of the 95% confidence interval.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7480300"/>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327400" cy="74803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C">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E">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 are asked to investigate a possible act of terrorism using anthrax. Which of the following is false regarding this category of bioterrorism agent?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priority agents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Have high mortality rates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Moderately difficult to disseminate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Require specialized public health responses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Anthrax falls under category A of bioterrorism agents. These organisms are usually easy to disseminate. Category A refers to high priority agents. They have high case-fatality rates and high transmissibility. Thus, a specialised public health response is required to combat such attacks.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4">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Individuals with fluoride intake above which of the following are at risk of developing crippling fluorosis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6 mg/L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&gt; 1.5 mg/L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&gt; 3 mg/L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&gt; 10 mg/L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Individuals with fluoride intake &gt; 10 mg/L are at risk of developing crippling fluorosis. Complications of fluorosis seen with corresponding levels of fluoride intake are:</w:t>
              <w:br w:type="textWrapping"/>
              <w:br w:type="textWrapping"/>
              <w:t xml:space="preserve">Dental fluorosis - 1.5 mg/L</w:t>
              <w:br w:type="textWrapping"/>
              <w:br w:type="textWrapping"/>
              <w:t xml:space="preserve">Skeletal fluorosis - 3-6 mg/L</w:t>
              <w:br w:type="textWrapping"/>
              <w:br w:type="textWrapping"/>
              <w:t xml:space="preserve">Crippling fluorosis - &gt; 10 mg/L</w:t>
              <w:br w:type="textWrapping"/>
              <w:br w:type="textWrapping"/>
              <w:t xml:space="preserve">Genu valgum may occur in people who consume jowar (sorghum), as it promotes greater retention of ingested fluoride. The Nalgonda technique is used for the defluoridation of water bodies. It involves the addition of lime and alum followed by flocculation, sedimentation, and filtration.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C">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E">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Which of the following is true about the reference woman used in the calculation of the recommended daily allowance (RDA)?</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 55 kgs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Height 1.73 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Works 10 hours/day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Age of 18-25 years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reference woman used in the calculation of recommended daily allowance (RDA) weighs about 55 Kgs and is aged between 19-39 years, nonpregnant, non-lactating with a height of 1.62 meters, and a BMI of 20.95, is free from disease and physically fit for active work. On each working day, she must be engaged in 8 hours of occupation/work, which usually involves moderate activity. When not at work she spends 8 hours in bed, 4-6 hours in sitting and moving about, 2 hours in walking, and in active recreation or household duties.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4">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Vitamin A deficiency is considered a public health problem if the prevalence of corneal xerosis among children aged 6 months - 6 years is more than: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0.01</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0.005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0.0001</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Vitamin A deficiency is considered a public health problem if the prevalence rate of corneal xerosis among children between 6 months to 6 years (high-risk category) is more than 0.01%. The presence of any 1 of the following criteria should be considered as evidence of a xerophthalmia problem in the community:</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2514600"/>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327400" cy="25146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E">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E0">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4">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Sample sizes of samples 1, 2 and 3 are 1000, 800, 600 respectively. The order of margin of error will be _____</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5473700"/>
                  <wp:effectExtent b="0" l="0" r="0" t="0"/>
                  <wp:docPr id="10"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327400" cy="54737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E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E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&gt;2&gt;1</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E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3&gt;1&gt;2</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E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1&gt;2&gt;3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1=2=3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Curve 1 has the least margin of error, followed by curve 2, and then curve 3. So the order is 3 &gt; 2 &gt; 1. The image shows three normal distribution curves of different sample sizes, having the same mean but different standard deviations. As the sample size is decreasing, the peak decreases and the curve becomes more flat, implying a wider confidence of interval for the given mean. The width of the base of the curve is directly proportional to the margin of error.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8">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FE">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level of prevention for specific protection includes all of the following except?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Meningitis prophylaxis in exposed contacts/relatives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Hand washing" with "pyrimethamine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Vaccination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Adding iron to wheat flour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While handwashing is a form of primary prevention, it is not a form of specific protection since it does not target any disease or pathogen in particular. It is a method of health promotion. Health promotion is a mode of intervention which includes health education, environmental modifications, nutritional interventions, and lifestyle and behavioural changes.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0">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1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pregnant woman whose niece lives with her in the same house contracted Varicella. She tested negative for serum antibodies against varicella. What would this mean?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 is immune to zoster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She is susceptible to zoste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She is susceptible to chicken pox</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She is immune to chicken pox</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given clinical scenario showing the absence of serum antibodies is indicative of susceptibility to chickenpox. The acquisition of maternal antibodies protects the infant during the first few months of life. The IgG antibodies produced during the first attack with the virus persist for life and their presence is correlated with protection against varicella. The absence of antibodies in the given scenario signifies that the patient is susceptible to chicken pox. Hence, the serologic screening of serum for IgG antibodies is used to assess immunity or susceptibility of a person to varicella, especially in unvaccinated people, e.g. in healthcare workers. Varicella in pregnant women: The contraction of the virus by a pregnant woman increases the risk of the fetus to congenital varicella syndrome. This is seen in mothers who are affected during the first 20 weeks of gestation. Affected babies present with the following:</w:t>
              <w:br w:type="textWrapping"/>
              <w:br w:type="textWrapping"/>
              <w:t xml:space="preserve">Foetal wastage</w:t>
              <w:br w:type="textWrapping"/>
              <w:br w:type="textWrapping"/>
              <w:t xml:space="preserve">Cutaneous scars</w:t>
              <w:br w:type="textWrapping"/>
              <w:br w:type="textWrapping"/>
              <w:t xml:space="preserve">Atrophied limbs</w:t>
              <w:br w:type="textWrapping"/>
              <w:br w:type="textWrapping"/>
              <w:t xml:space="preserve">Microcephaly</w:t>
              <w:br w:type="textWrapping"/>
              <w:br w:type="textWrapping"/>
              <w:t xml:space="preserve">Low birth weight</w:t>
              <w:br w:type="textWrapping"/>
              <w:br w:type="textWrapping"/>
              <w:t xml:space="preserve">Cataract</w:t>
              <w:br w:type="textWrapping"/>
              <w:br w:type="textWrapping"/>
              <w:t xml:space="preserve">Microphthalmia</w:t>
              <w:br w:type="textWrapping"/>
              <w:br w:type="textWrapping"/>
              <w:t xml:space="preserve">Chorioretinitis</w:t>
              <w:br w:type="textWrapping"/>
              <w:br w:type="textWrapping"/>
              <w:t xml:space="preserve">Deafness</w:t>
              <w:br w:type="textWrapping"/>
              <w:br w:type="textWrapping"/>
              <w:t xml:space="preserve">Cerebro-cortical atrophy Prevention:</w:t>
              <w:br w:type="textWrapping"/>
              <w:br w:type="textWrapping"/>
              <w:t xml:space="preserve">Varicella-Zoster Immunoglobulin (VZIG) is given as post-exposure prophylaxis within 72 hours of exposure and has been recommended for prevention of chickenpox in exposed susceptible individuals particularly in immunosuppressed persons such as:</w:t>
              <w:br w:type="textWrapping"/>
              <w:br w:type="textWrapping"/>
              <w:t xml:space="preserve">Persons receiving immunosuppressive therapy</w:t>
              <w:br w:type="textWrapping"/>
              <w:br w:type="textWrapping"/>
              <w:t xml:space="preserve">Newborns</w:t>
              <w:br w:type="textWrapping"/>
              <w:br w:type="textWrapping"/>
              <w:t xml:space="preserve">Persons with acquired immunodeficiency including HIV/AIDS</w:t>
              <w:br w:type="textWrapping"/>
              <w:br w:type="textWrapping"/>
              <w:t xml:space="preserve">Exposed pregnant women</w:t>
              <w:br w:type="textWrapping"/>
              <w:br w:type="textWrapping"/>
              <w:t xml:space="preserve">Persons with congenital cellular immunodeficiency</w:t>
              <w:br w:type="textWrapping"/>
              <w:br w:type="textWrapping"/>
              <w:t xml:space="preserve">Premature infants of low birth weight</w:t>
              <w:br w:type="textWrapping"/>
              <w:br w:type="textWrapping"/>
              <w:t xml:space="preserve">Live attenuated vaccine is administered to children who have not had chicken pox between the age of 12 to 18 months.</w:t>
              <w:br w:type="textWrapping"/>
              <w:br w:type="textWrapping"/>
              <w:t xml:space="preserve">Malaria Treatment (Q23 Explanation): This clinical scenario and peripheral smear showing crescent-shaped gametocytes are suggestive of uncomplicated falciparum malaria. As this woman is from a North-Eastern state, the drug regimen of choice is ACT-AL (artemisinin combination therapy):</w:t>
              <w:br w:type="textWrapping"/>
              <w:br w:type="textWrapping"/>
              <w:t xml:space="preserve">Artemether (20mg)</w:t>
              <w:br w:type="textWrapping"/>
              <w:br w:type="textWrapping"/>
              <w:t xml:space="preserve">Lumefantrine (120mg) This regimen is followed in the North-Eastern states of India due to documented resistance to sulphadoxine-pyrimethamine in these areas. ACT-AL is contraindicated in:</w:t>
              <w:br w:type="textWrapping"/>
              <w:br w:type="textWrapping"/>
              <w:t xml:space="preserve">1st trimester of pregnancy</w:t>
              <w:br w:type="textWrapping"/>
              <w:br w:type="textWrapping"/>
              <w:t xml:space="preserve">Children &lt; 5 kg</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8">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2E">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44-year-old woman from Assam presented with fever and chills recurring every 48 hours. On examination, she was conscious, oriented, and febrile. CBC, LFT, and RFT were normal. Peripheral smear revealed the following. What is the drug of choice?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5829300"/>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327400" cy="58293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Quinine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Artesunate and sulphadoxine-</w:t>
              <w:br w:type="textWrapping"/>
              <w:br w:type="textWrapping"/>
              <w:t xml:space="preserve">pyrimethamine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Artemether and lumefantrine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Chloroquine and pyrimethamine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clinical scenario and peripheral smear showing crescent-shaped gametocytes are suggestive of</w:t>
              <w:br w:type="textWrapping"/>
              <w:t xml:space="preserve">uncomplicated falciparum malaria. As this woman is from a North-Eastern state, the drug regimen of choice is ACT-AL</w:t>
              <w:br w:type="textWrapping"/>
              <w:t xml:space="preserve">(artemisinin combination therapy):</w:t>
              <w:br w:type="textWrapping"/>
              <w:t xml:space="preserve">· Artemether (20mg)</w:t>
              <w:br w:type="textWrapping"/>
              <w:t xml:space="preserve">· Lumefantrine (120mg)</w:t>
              <w:br w:type="textWrapping"/>
              <w:t xml:space="preserve">This regimen is followed in the North-Eastern states of India due to documented resistance to sulphadoxine-pyrimethamine in</w:t>
              <w:br w:type="textWrapping"/>
              <w:t xml:space="preserve">these areas. ACT-AL is contraindicated in:</w:t>
              <w:br w:type="textWrapping"/>
              <w:t xml:space="preserve">. 1st trimester of pregnancy</w:t>
              <w:br w:type="textWrapping"/>
              <w:t xml:space="preserve">. Children &lt; 5 kg</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5727700"/>
                  <wp:effectExtent b="0" l="0" r="0" t="0"/>
                  <wp:docPr id="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327400" cy="57277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4">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4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a town of 20,000 populations, total 456 births were there in a year out of which 56 were dead born. The total death were 247 out of which 56 deaths were within 28 days of life and another 34 had dies after 28 days and before completing the first birthday. Calculate the infant mortality rate of the area?</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197</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392</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225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344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infant mortality rate is 225 per 1000 live births.</w:t>
              <w:br w:type="textWrapping"/>
              <w:br w:type="textWrapping"/>
              <w:t xml:space="preserve">Infant mortality rate (IMR) is defined as the ratio of infant deaths registered in a given year to the total number of live</w:t>
              <w:br w:type="textWrapping"/>
              <w:br w:type="textWrapping"/>
              <w:t xml:space="preserve">births in the same year. IMR is usually expressed as a rate per 1000 live births. Infants include those under the age of 1 year.</w:t>
              <w:br w:type="textWrapping"/>
              <w:br w:type="textWrapping"/>
              <w:t xml:space="preserve">Calculation:</w:t>
              <w:br w:type="textWrapping"/>
              <w:br w:type="textWrapping"/>
              <w:t xml:space="preserve">. IMR = (Number of deaths of children under 1 year of age in a year x 1000)/(Number of live births in the same year).</w:t>
              <w:br w:type="textWrapping"/>
              <w:br w:type="textWrapping"/>
              <w:t xml:space="preserve">. In the given question, Out of total 456 births, 56 were dead born. Therefore, the number of live births= 456-56 = 400.</w:t>
              <w:br w:type="textWrapping"/>
              <w:br w:type="textWrapping"/>
              <w:t xml:space="preserve">. In the same year, it is given that the number of deaths before 28 days is 56, and the number of deaths after 28 days but</w:t>
              <w:br w:type="textWrapping"/>
              <w:br w:type="textWrapping"/>
              <w:t xml:space="preserve">before 1 year. Therefore, the total number of deaths of children under the age of 1 year is 56 + 34 = 90</w:t>
              <w:br w:type="textWrapping"/>
              <w:br w:type="textWrapping"/>
              <w:t xml:space="preserve">· IMR = (90x1000)/400 = 900/4 = 225</w:t>
              <w:br w:type="textWrapping"/>
              <w:br w:type="textWrapping"/>
              <w:t xml:space="preserve">. Hence, the IMR is 225 per 1000 live births.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C">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E">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6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 from a broken septic tank is collected in a container and breeding mosquitoes are seen. The image of the larva is given below. Identify the species of the mosquito.</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327400" cy="6362700"/>
                  <wp:effectExtent b="0" l="0" r="0" t="0"/>
                  <wp:docPr id="1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327400" cy="63627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ind w:left="220" w:firstLine="0"/>
              <w:rPr/>
            </w:pPr>
            <w:r w:rsidDel="00000000" w:rsidR="00000000" w:rsidRPr="00000000">
              <w:rPr>
                <w:rFonts w:ascii="Times New Roman" w:cs="Times New Roman" w:eastAsia="Times New Roman" w:hAnsi="Times New Roman"/>
                <w:sz w:val="24"/>
                <w:szCs w:val="24"/>
                <w:rtl w:val="0"/>
              </w:rPr>
              <w:t xml:space="preserve">multiple_choice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Anopheles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Aedes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Mansonia</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Culex</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species of mosquito that breeds in dirty water is Culex.</w:t>
              <w:br w:type="textWrapping"/>
              <w:br w:type="textWrapping"/>
              <w:t xml:space="preserve">Culex fatigans are found everywhere in India and they transmit Bancroftian filariasis. Culex mosquitoes are also vectors</w:t>
              <w:br w:type="textWrapping"/>
              <w:br w:type="textWrapping"/>
              <w:t xml:space="preserve">for Japanese encephalitis, West Nile fever, and viral arthritis.</w:t>
              <w:br w:type="textWrapping"/>
              <w:br w:type="textWrapping"/>
              <w:t xml:space="preserve">It can be identified by the presence of unspotted wings and hunched back. The larva has a head that is suspended</w:t>
              <w:br w:type="textWrapping"/>
              <w:br w:type="textWrapping"/>
              <w:t xml:space="preserve">downwards at an angle to the water surface and a siphon tube is present.</w:t>
              <w:br w:type="textWrapping"/>
              <w:br w:type="textWrapping"/>
              <w:t xml:space="preserve">It breeds in dirty water collections like stagnant drains, septic tanks, and burrow pits. The peak biting time is during midnight.</w:t>
              <w:br w:type="textWrapping"/>
              <w:br w:type="textWrapping"/>
              <w:t xml:space="preserve">The preferred biting site is the legs, mainly below the knee.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8">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3.png"/><Relationship Id="rId10" Type="http://schemas.openxmlformats.org/officeDocument/2006/relationships/image" Target="media/image12.png"/><Relationship Id="rId21" Type="http://schemas.openxmlformats.org/officeDocument/2006/relationships/image" Target="media/image13.png"/><Relationship Id="rId13" Type="http://schemas.openxmlformats.org/officeDocument/2006/relationships/image" Target="media/image14.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6.png"/><Relationship Id="rId18" Type="http://schemas.openxmlformats.org/officeDocument/2006/relationships/image" Target="media/image17.png"/><Relationship Id="rId7" Type="http://schemas.openxmlformats.org/officeDocument/2006/relationships/image" Target="media/image8.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