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BBAA" w14:textId="78418C3D" w:rsidR="005970BD" w:rsidRPr="00B341DC" w:rsidRDefault="001D048B" w:rsidP="00B341DC">
      <w:pPr>
        <w:pStyle w:val="Title"/>
      </w:pPr>
      <w:r>
        <w:t>INTEGRATIONS DEVELOPMENT STANDARDS</w:t>
      </w:r>
    </w:p>
    <w:p w14:paraId="6D322F24" w14:textId="139B3A4B" w:rsidR="00060D1B" w:rsidRDefault="00231CD2" w:rsidP="00422E74">
      <w:pPr>
        <w:ind w:right="144"/>
        <w:rPr>
          <w:rStyle w:val="Strong"/>
        </w:rPr>
      </w:pPr>
      <w:r>
        <w:rPr>
          <w:rStyle w:val="Strong"/>
          <w:rFonts w:asciiTheme="majorHAnsi" w:hAnsiTheme="majorHAnsi"/>
        </w:rPr>
        <w:br/>
      </w:r>
      <w:r w:rsidR="00060D1B">
        <w:rPr>
          <w:rStyle w:val="Strong"/>
        </w:rPr>
        <w:t>This document is meant to maintain standards across integrations on Workday projects.</w:t>
      </w:r>
      <w:r w:rsidR="001D048B">
        <w:rPr>
          <w:rStyle w:val="Strong"/>
        </w:rPr>
        <w:t xml:space="preserve"> Following these standards will help with maintenance and posterity across the integrations team and allow for consistent and standardized methodology across projects.</w:t>
      </w:r>
    </w:p>
    <w:p w14:paraId="0BB84980" w14:textId="4EDDE8F7" w:rsidR="00F14C1E" w:rsidRPr="00B341DC" w:rsidRDefault="00060D1B" w:rsidP="00422E74">
      <w:pPr>
        <w:ind w:right="144"/>
        <w:rPr>
          <w:rStyle w:val="Strong"/>
        </w:rPr>
      </w:pPr>
      <w:r>
        <w:rPr>
          <w:rFonts w:asciiTheme="majorHAnsi" w:hAnsiTheme="majorHAnsi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CC58E4" wp14:editId="67B0F858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6845300" cy="0"/>
                <wp:effectExtent l="0" t="19050" r="31750" b="19050"/>
                <wp:wrapThrough wrapText="bothSides">
                  <wp:wrapPolygon edited="0">
                    <wp:start x="0" y="-1"/>
                    <wp:lineTo x="0" y="-1"/>
                    <wp:lineTo x="21640" y="-1"/>
                    <wp:lineTo x="21640" y="-1"/>
                    <wp:lineTo x="0" y="-1"/>
                  </wp:wrapPolygon>
                </wp:wrapThrough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C8F35" id="Straight Connector 29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85pt" to="53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" strokecolor="black [3213]" strokeweight="3pt">
                <v:stroke joinstyle="miter"/>
                <w10:wrap type="through" anchorx="margin"/>
              </v:line>
            </w:pict>
          </mc:Fallback>
        </mc:AlternateContent>
      </w:r>
    </w:p>
    <w:p w14:paraId="74A4F9AC" w14:textId="77777777" w:rsidR="00060D1B" w:rsidRDefault="00060D1B" w:rsidP="00B341DC">
      <w:pPr>
        <w:pStyle w:val="Heading2"/>
      </w:pPr>
    </w:p>
    <w:p w14:paraId="37E86C4C" w14:textId="2A2F538C" w:rsidR="00731190" w:rsidRPr="00B341DC" w:rsidRDefault="00060D1B" w:rsidP="00B341DC">
      <w:pPr>
        <w:pStyle w:val="Heading2"/>
      </w:pPr>
      <w:r>
        <w:t>APPENDIX</w:t>
      </w:r>
    </w:p>
    <w:p w14:paraId="7CA42B8A" w14:textId="77777777" w:rsidR="00060D1B" w:rsidRDefault="00060D1B" w:rsidP="00060D1B">
      <w:pPr>
        <w:pStyle w:val="ListParagraph"/>
        <w:numPr>
          <w:ilvl w:val="0"/>
          <w:numId w:val="3"/>
        </w:numPr>
        <w:ind w:right="54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Naming Conventions</w:t>
      </w:r>
    </w:p>
    <w:p w14:paraId="46482793" w14:textId="77777777" w:rsidR="007974B6" w:rsidRDefault="00060D1B" w:rsidP="00060D1B">
      <w:pPr>
        <w:pStyle w:val="ListParagraph"/>
        <w:numPr>
          <w:ilvl w:val="0"/>
          <w:numId w:val="3"/>
        </w:numPr>
        <w:ind w:right="54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Security</w:t>
      </w:r>
    </w:p>
    <w:p w14:paraId="68354F78" w14:textId="77777777" w:rsidR="0091374F" w:rsidRDefault="0091374F" w:rsidP="00060D1B">
      <w:pPr>
        <w:pStyle w:val="ListParagraph"/>
        <w:numPr>
          <w:ilvl w:val="0"/>
          <w:numId w:val="3"/>
        </w:numPr>
        <w:ind w:right="54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Error Handling</w:t>
      </w:r>
    </w:p>
    <w:p w14:paraId="61512871" w14:textId="44692E34" w:rsidR="00060D1B" w:rsidRDefault="00593218" w:rsidP="00060D1B">
      <w:pPr>
        <w:pStyle w:val="ListParagraph"/>
        <w:numPr>
          <w:ilvl w:val="0"/>
          <w:numId w:val="3"/>
        </w:numPr>
        <w:ind w:right="54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Studio Assemblies</w:t>
      </w:r>
    </w:p>
    <w:p w14:paraId="617E68E6" w14:textId="1213A53B" w:rsidR="00154B3A" w:rsidRDefault="00D17C81" w:rsidP="00060D1B">
      <w:pPr>
        <w:pStyle w:val="ListParagraph"/>
        <w:numPr>
          <w:ilvl w:val="0"/>
          <w:numId w:val="3"/>
        </w:numPr>
        <w:ind w:right="54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XSLT Standards</w:t>
      </w:r>
    </w:p>
    <w:p w14:paraId="48100F18" w14:textId="4ECA0700" w:rsidR="00CD6C69" w:rsidRDefault="00CD6C69" w:rsidP="00CD6C69">
      <w:pPr>
        <w:pStyle w:val="ListParagraph"/>
        <w:numPr>
          <w:ilvl w:val="0"/>
          <w:numId w:val="3"/>
        </w:numPr>
        <w:ind w:right="54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EIB Standards</w:t>
      </w:r>
    </w:p>
    <w:p w14:paraId="377B6118" w14:textId="57279C79" w:rsidR="00DC0F69" w:rsidRPr="00CD6C69" w:rsidRDefault="00DC0F69" w:rsidP="00CD6C69">
      <w:pPr>
        <w:pStyle w:val="ListParagraph"/>
        <w:numPr>
          <w:ilvl w:val="0"/>
          <w:numId w:val="3"/>
        </w:numPr>
        <w:ind w:right="54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Custom Report Standards</w:t>
      </w:r>
    </w:p>
    <w:p w14:paraId="3A80A29C" w14:textId="77777777" w:rsidR="00154B3A" w:rsidRPr="00154B3A" w:rsidRDefault="00154B3A" w:rsidP="00BD533E">
      <w:pPr>
        <w:pStyle w:val="ListParagraph"/>
        <w:ind w:right="54"/>
        <w:rPr>
          <w:rFonts w:asciiTheme="majorHAnsi" w:hAnsiTheme="majorHAnsi"/>
          <w:sz w:val="18"/>
        </w:rPr>
      </w:pPr>
    </w:p>
    <w:p w14:paraId="7D4CECCC" w14:textId="0B254181" w:rsidR="00060D1B" w:rsidRDefault="00060D1B" w:rsidP="00060D1B"/>
    <w:p w14:paraId="2F4E9ADA" w14:textId="75975E61" w:rsidR="00060D1B" w:rsidRDefault="00060D1B" w:rsidP="00060D1B"/>
    <w:p w14:paraId="4B0CB07D" w14:textId="40DB91FD" w:rsidR="00060D1B" w:rsidRDefault="00060D1B" w:rsidP="00060D1B"/>
    <w:p w14:paraId="427C63F0" w14:textId="3912BD8A" w:rsidR="00060D1B" w:rsidRDefault="00060D1B" w:rsidP="00060D1B"/>
    <w:p w14:paraId="1EFE1853" w14:textId="14F7DCAE" w:rsidR="00060D1B" w:rsidRDefault="00060D1B" w:rsidP="00060D1B"/>
    <w:p w14:paraId="03D9BF5B" w14:textId="538EA5C1" w:rsidR="00060D1B" w:rsidRDefault="00060D1B" w:rsidP="00060D1B"/>
    <w:p w14:paraId="2279B096" w14:textId="31782B4E" w:rsidR="00060D1B" w:rsidRDefault="00060D1B" w:rsidP="00060D1B"/>
    <w:p w14:paraId="6A222DBE" w14:textId="3C41CD22" w:rsidR="00060D1B" w:rsidRDefault="00060D1B" w:rsidP="00060D1B"/>
    <w:p w14:paraId="43675589" w14:textId="6E494DD8" w:rsidR="00060D1B" w:rsidRDefault="00060D1B" w:rsidP="00060D1B"/>
    <w:p w14:paraId="0D3C58F3" w14:textId="5F2D10F5" w:rsidR="00060D1B" w:rsidRDefault="00060D1B" w:rsidP="00060D1B"/>
    <w:p w14:paraId="5EF0670F" w14:textId="47AEA568" w:rsidR="00060D1B" w:rsidRDefault="00060D1B" w:rsidP="00060D1B"/>
    <w:p w14:paraId="120C6365" w14:textId="004DE0A7" w:rsidR="00060D1B" w:rsidRDefault="00060D1B" w:rsidP="00060D1B"/>
    <w:p w14:paraId="46B01AAB" w14:textId="6CFBEE35" w:rsidR="00060D1B" w:rsidRDefault="00060D1B" w:rsidP="00060D1B"/>
    <w:p w14:paraId="17EE588C" w14:textId="46957AC7" w:rsidR="00060D1B" w:rsidRDefault="00060D1B" w:rsidP="00060D1B"/>
    <w:p w14:paraId="6F93F271" w14:textId="19C8C433" w:rsidR="00593218" w:rsidRDefault="00593218" w:rsidP="00060D1B"/>
    <w:p w14:paraId="1B300CAD" w14:textId="77777777" w:rsidR="00593218" w:rsidRDefault="00593218" w:rsidP="00060D1B"/>
    <w:p w14:paraId="62F3D87E" w14:textId="3FC55089" w:rsidR="00060D1B" w:rsidRDefault="00060D1B" w:rsidP="00060D1B"/>
    <w:p w14:paraId="0FAF6DCA" w14:textId="5813A5F0" w:rsidR="00060D1B" w:rsidRDefault="00060D1B" w:rsidP="00060D1B"/>
    <w:p w14:paraId="04D1D3F0" w14:textId="00BC594F" w:rsidR="00060D1B" w:rsidRDefault="00060D1B" w:rsidP="00060D1B"/>
    <w:p w14:paraId="54BAEB3D" w14:textId="21DF5E34" w:rsidR="00060D1B" w:rsidRDefault="00060D1B" w:rsidP="00060D1B"/>
    <w:p w14:paraId="112DA412" w14:textId="1EFBFC57" w:rsidR="00060D1B" w:rsidRDefault="00060D1B" w:rsidP="00060D1B"/>
    <w:p w14:paraId="440C591E" w14:textId="28C3A0A0" w:rsidR="00060D1B" w:rsidRDefault="00060D1B" w:rsidP="00060D1B"/>
    <w:p w14:paraId="73F5F3F6" w14:textId="3D9D1C67" w:rsidR="00060D1B" w:rsidRDefault="00060D1B" w:rsidP="00060D1B"/>
    <w:p w14:paraId="4F5774F5" w14:textId="6BF7E6A8" w:rsidR="00060D1B" w:rsidRDefault="00060D1B" w:rsidP="00060D1B"/>
    <w:p w14:paraId="20589EEA" w14:textId="77777777" w:rsidR="002C4283" w:rsidRDefault="002C4283" w:rsidP="00060D1B"/>
    <w:p w14:paraId="4035B022" w14:textId="66B2D513" w:rsidR="00060D1B" w:rsidRDefault="00060D1B" w:rsidP="00060D1B"/>
    <w:p w14:paraId="75A53A1A" w14:textId="5EB2EF7B" w:rsidR="00060D1B" w:rsidRDefault="00060D1B" w:rsidP="00060D1B"/>
    <w:p w14:paraId="5C066F85" w14:textId="77777777" w:rsidR="00060D1B" w:rsidRPr="00060D1B" w:rsidRDefault="00060D1B" w:rsidP="00060D1B"/>
    <w:p w14:paraId="695AB1FF" w14:textId="417D35A3" w:rsidR="00F25EE2" w:rsidRPr="00F14C1E" w:rsidRDefault="00F25EE2" w:rsidP="00F25EE2">
      <w:pPr>
        <w:rPr>
          <w:rFonts w:asciiTheme="majorHAnsi" w:hAnsiTheme="majorHAnsi"/>
          <w:sz w:val="20"/>
        </w:rPr>
      </w:pPr>
    </w:p>
    <w:p w14:paraId="2AE38FB8" w14:textId="0146A589" w:rsidR="00060D1B" w:rsidRPr="001D048B" w:rsidRDefault="00060D1B" w:rsidP="00B341DC">
      <w:pPr>
        <w:pStyle w:val="Heading2"/>
        <w:rPr>
          <w:sz w:val="28"/>
          <w:szCs w:val="28"/>
        </w:rPr>
      </w:pPr>
      <w:r w:rsidRPr="001D048B">
        <w:rPr>
          <w:sz w:val="28"/>
          <w:szCs w:val="28"/>
        </w:rPr>
        <w:lastRenderedPageBreak/>
        <w:t>NAMING CONVENTIONS</w:t>
      </w:r>
    </w:p>
    <w:p w14:paraId="3C99B699" w14:textId="77777777" w:rsidR="001D048B" w:rsidRPr="001D048B" w:rsidRDefault="001D048B" w:rsidP="001D048B">
      <w:pPr>
        <w:rPr>
          <w:sz w:val="18"/>
          <w:szCs w:val="18"/>
        </w:rPr>
      </w:pPr>
    </w:p>
    <w:p w14:paraId="3EE2D592" w14:textId="77777777" w:rsidR="00060D1B" w:rsidRPr="00BB7010" w:rsidRDefault="00060D1B" w:rsidP="00060D1B">
      <w:pPr>
        <w:pStyle w:val="Heading2"/>
      </w:pPr>
      <w:r>
        <w:t>INTEGRATION</w:t>
      </w:r>
    </w:p>
    <w:p w14:paraId="1F281EBA" w14:textId="37DBEE35" w:rsidR="00060D1B" w:rsidRDefault="00060D1B" w:rsidP="00060D1B">
      <w:pPr>
        <w:ind w:right="54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INT</w:t>
      </w:r>
      <w:r w:rsidR="00D46BB5">
        <w:rPr>
          <w:rFonts w:asciiTheme="majorHAnsi" w:hAnsiTheme="majorHAnsi"/>
          <w:sz w:val="18"/>
        </w:rPr>
        <w:t>X</w:t>
      </w:r>
      <w:r>
        <w:rPr>
          <w:rFonts w:asciiTheme="majorHAnsi" w:hAnsiTheme="majorHAnsi"/>
          <w:sz w:val="18"/>
        </w:rPr>
        <w:t>XXX [Vendor] [Description] [Direction]</w:t>
      </w:r>
    </w:p>
    <w:p w14:paraId="612F937E" w14:textId="77777777" w:rsidR="00060D1B" w:rsidRDefault="00060D1B" w:rsidP="00060D1B">
      <w:pPr>
        <w:ind w:right="54"/>
        <w:rPr>
          <w:rFonts w:asciiTheme="majorHAnsi" w:hAnsiTheme="majorHAnsi"/>
          <w:sz w:val="18"/>
        </w:rPr>
      </w:pPr>
    </w:p>
    <w:p w14:paraId="793A4560" w14:textId="5F4CC143" w:rsidR="00060D1B" w:rsidRPr="00BB7010" w:rsidRDefault="00D46BB5" w:rsidP="00060D1B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X</w:t>
      </w:r>
      <w:r w:rsidR="00060D1B" w:rsidRPr="00BB7010">
        <w:rPr>
          <w:rFonts w:asciiTheme="majorHAnsi" w:hAnsiTheme="majorHAnsi"/>
          <w:sz w:val="18"/>
        </w:rPr>
        <w:t>XXX: integration number (INT0</w:t>
      </w:r>
      <w:r>
        <w:rPr>
          <w:rFonts w:asciiTheme="majorHAnsi" w:hAnsiTheme="majorHAnsi"/>
          <w:sz w:val="18"/>
        </w:rPr>
        <w:t>0</w:t>
      </w:r>
      <w:r w:rsidR="00060D1B" w:rsidRPr="00BB7010">
        <w:rPr>
          <w:rFonts w:asciiTheme="majorHAnsi" w:hAnsiTheme="majorHAnsi"/>
          <w:sz w:val="18"/>
        </w:rPr>
        <w:t>01)</w:t>
      </w:r>
    </w:p>
    <w:p w14:paraId="7745EAA6" w14:textId="77777777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 xml:space="preserve">Vendor:  The vendor for the integration. </w:t>
      </w:r>
    </w:p>
    <w:p w14:paraId="5047D7B7" w14:textId="77777777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Direction: inbound or outbound with regards to Workday</w:t>
      </w:r>
    </w:p>
    <w:p w14:paraId="6F2B7998" w14:textId="77777777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Description: The general purpose of the integration. This should be very short. (Demographic)</w:t>
      </w:r>
    </w:p>
    <w:p w14:paraId="71E4AE8E" w14:textId="77777777" w:rsidR="00060D1B" w:rsidRPr="00BB7010" w:rsidRDefault="00060D1B" w:rsidP="00060D1B">
      <w:pPr>
        <w:rPr>
          <w:rFonts w:asciiTheme="majorHAnsi" w:hAnsiTheme="majorHAnsi"/>
          <w:sz w:val="18"/>
        </w:rPr>
      </w:pPr>
    </w:p>
    <w:p w14:paraId="6D0984FB" w14:textId="77777777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Examples:</w:t>
      </w:r>
    </w:p>
    <w:p w14:paraId="213F73B7" w14:textId="7C7E4ABC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INT0</w:t>
      </w:r>
      <w:r w:rsidR="00D46BB5">
        <w:rPr>
          <w:rFonts w:asciiTheme="majorHAnsi" w:hAnsiTheme="majorHAnsi"/>
          <w:sz w:val="18"/>
        </w:rPr>
        <w:t>0</w:t>
      </w:r>
      <w:r w:rsidRPr="00BB7010">
        <w:rPr>
          <w:rFonts w:asciiTheme="majorHAnsi" w:hAnsiTheme="majorHAnsi"/>
          <w:sz w:val="18"/>
        </w:rPr>
        <w:t>01</w:t>
      </w:r>
      <w:r w:rsidR="00C35A4D">
        <w:rPr>
          <w:rFonts w:asciiTheme="majorHAnsi" w:hAnsiTheme="majorHAnsi"/>
          <w:sz w:val="18"/>
        </w:rPr>
        <w:t xml:space="preserve"> </w:t>
      </w:r>
      <w:r w:rsidRPr="00BB7010">
        <w:rPr>
          <w:rFonts w:asciiTheme="majorHAnsi" w:hAnsiTheme="majorHAnsi"/>
          <w:sz w:val="18"/>
        </w:rPr>
        <w:t xml:space="preserve">Merrill Lynch Demographic Outbound </w:t>
      </w:r>
    </w:p>
    <w:p w14:paraId="72D3C420" w14:textId="25AAAF71" w:rsidR="00060D1B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INT</w:t>
      </w:r>
      <w:r w:rsidR="00D46BB5">
        <w:rPr>
          <w:rFonts w:asciiTheme="majorHAnsi" w:hAnsiTheme="majorHAnsi"/>
          <w:sz w:val="18"/>
        </w:rPr>
        <w:t>0</w:t>
      </w:r>
      <w:r w:rsidRPr="00BB7010">
        <w:rPr>
          <w:rFonts w:asciiTheme="majorHAnsi" w:hAnsiTheme="majorHAnsi"/>
          <w:sz w:val="18"/>
        </w:rPr>
        <w:t xml:space="preserve">105 Aetna Leave of Absence Inbound </w:t>
      </w:r>
    </w:p>
    <w:p w14:paraId="58B72083" w14:textId="77777777" w:rsidR="00060D1B" w:rsidRPr="00060D1B" w:rsidRDefault="00060D1B" w:rsidP="00060D1B">
      <w:pPr>
        <w:rPr>
          <w:rFonts w:asciiTheme="majorHAnsi" w:hAnsiTheme="majorHAnsi"/>
          <w:sz w:val="18"/>
        </w:rPr>
      </w:pPr>
    </w:p>
    <w:p w14:paraId="4117FF9A" w14:textId="77777777" w:rsidR="00060D1B" w:rsidRPr="005E6FBF" w:rsidRDefault="00060D1B" w:rsidP="00060D1B">
      <w:pPr>
        <w:pStyle w:val="Heading2"/>
      </w:pPr>
      <w:r>
        <w:t>INTEGRATION REPORTS (FOR EIBS AND STUDIOS)</w:t>
      </w:r>
    </w:p>
    <w:p w14:paraId="50B59A13" w14:textId="12D60C7B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CRI</w:t>
      </w:r>
      <w:r w:rsidR="001D048B">
        <w:rPr>
          <w:rFonts w:asciiTheme="majorHAnsi" w:hAnsiTheme="majorHAnsi"/>
          <w:sz w:val="18"/>
        </w:rPr>
        <w:t xml:space="preserve"> INT</w:t>
      </w:r>
      <w:r w:rsidRPr="00BB7010">
        <w:rPr>
          <w:rFonts w:asciiTheme="majorHAnsi" w:hAnsiTheme="majorHAnsi"/>
          <w:sz w:val="18"/>
        </w:rPr>
        <w:t>XXX</w:t>
      </w:r>
      <w:r w:rsidR="00D46BB5">
        <w:rPr>
          <w:rFonts w:asciiTheme="majorHAnsi" w:hAnsiTheme="majorHAnsi"/>
          <w:sz w:val="18"/>
        </w:rPr>
        <w:t>X</w:t>
      </w:r>
      <w:r w:rsidRPr="00BB7010">
        <w:rPr>
          <w:rFonts w:asciiTheme="majorHAnsi" w:hAnsiTheme="majorHAnsi"/>
          <w:sz w:val="18"/>
        </w:rPr>
        <w:t xml:space="preserve"> </w:t>
      </w:r>
      <w:r w:rsidR="00916579">
        <w:rPr>
          <w:rFonts w:asciiTheme="majorHAnsi" w:hAnsiTheme="majorHAnsi"/>
          <w:sz w:val="18"/>
        </w:rPr>
        <w:t>[</w:t>
      </w:r>
      <w:r w:rsidRPr="00BB7010">
        <w:rPr>
          <w:rFonts w:asciiTheme="majorHAnsi" w:hAnsiTheme="majorHAnsi"/>
          <w:sz w:val="18"/>
        </w:rPr>
        <w:t>Description</w:t>
      </w:r>
      <w:r w:rsidR="00916579">
        <w:rPr>
          <w:rFonts w:asciiTheme="majorHAnsi" w:hAnsiTheme="majorHAnsi"/>
          <w:sz w:val="18"/>
        </w:rPr>
        <w:t>]</w:t>
      </w:r>
    </w:p>
    <w:p w14:paraId="61E4B0A7" w14:textId="77777777" w:rsidR="00060D1B" w:rsidRPr="00BB7010" w:rsidRDefault="00060D1B" w:rsidP="00060D1B">
      <w:pPr>
        <w:rPr>
          <w:rFonts w:asciiTheme="majorHAnsi" w:hAnsiTheme="majorHAnsi"/>
          <w:sz w:val="18"/>
        </w:rPr>
      </w:pPr>
    </w:p>
    <w:p w14:paraId="1D59EA23" w14:textId="77777777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CRI: Custom Report for Integrations</w:t>
      </w:r>
    </w:p>
    <w:p w14:paraId="1D77F0AC" w14:textId="079CECB1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XXX</w:t>
      </w:r>
      <w:r w:rsidR="00D46BB5">
        <w:rPr>
          <w:rFonts w:asciiTheme="majorHAnsi" w:hAnsiTheme="majorHAnsi"/>
          <w:sz w:val="18"/>
        </w:rPr>
        <w:t>X</w:t>
      </w:r>
      <w:r w:rsidRPr="00BB7010">
        <w:rPr>
          <w:rFonts w:asciiTheme="majorHAnsi" w:hAnsiTheme="majorHAnsi"/>
          <w:sz w:val="18"/>
        </w:rPr>
        <w:t>: Integration number</w:t>
      </w:r>
    </w:p>
    <w:p w14:paraId="1D58B38E" w14:textId="77777777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Description: The purpose of the report</w:t>
      </w:r>
    </w:p>
    <w:p w14:paraId="6EED037C" w14:textId="77777777" w:rsidR="00060D1B" w:rsidRPr="00BB7010" w:rsidRDefault="00060D1B" w:rsidP="00060D1B">
      <w:pPr>
        <w:rPr>
          <w:rFonts w:asciiTheme="majorHAnsi" w:hAnsiTheme="majorHAnsi"/>
          <w:sz w:val="18"/>
        </w:rPr>
      </w:pPr>
    </w:p>
    <w:p w14:paraId="15AB8F08" w14:textId="77777777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Examples:</w:t>
      </w:r>
    </w:p>
    <w:p w14:paraId="719AD76E" w14:textId="3FB978F7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CRI</w:t>
      </w:r>
      <w:r w:rsidR="001D048B">
        <w:rPr>
          <w:rFonts w:asciiTheme="majorHAnsi" w:hAnsiTheme="majorHAnsi"/>
          <w:sz w:val="18"/>
        </w:rPr>
        <w:t xml:space="preserve"> INT</w:t>
      </w:r>
      <w:r w:rsidR="00D46BB5">
        <w:rPr>
          <w:rFonts w:asciiTheme="majorHAnsi" w:hAnsiTheme="majorHAnsi"/>
          <w:sz w:val="18"/>
        </w:rPr>
        <w:t>0</w:t>
      </w:r>
      <w:r w:rsidRPr="00BB7010">
        <w:rPr>
          <w:rFonts w:asciiTheme="majorHAnsi" w:hAnsiTheme="majorHAnsi"/>
          <w:sz w:val="18"/>
        </w:rPr>
        <w:t>025 Dependents and Beneficiaries</w:t>
      </w:r>
    </w:p>
    <w:p w14:paraId="5C4799A2" w14:textId="2B6EF74D" w:rsidR="00060D1B" w:rsidRPr="00F14C1E" w:rsidRDefault="00060D1B" w:rsidP="00060D1B">
      <w:pPr>
        <w:rPr>
          <w:rStyle w:val="SubtleEmphasis"/>
          <w:rFonts w:asciiTheme="majorHAnsi" w:hAnsiTheme="majorHAnsi"/>
          <w:i w:val="0"/>
          <w:color w:val="000000" w:themeColor="text1"/>
        </w:rPr>
      </w:pPr>
      <w:r w:rsidRPr="00BB7010">
        <w:rPr>
          <w:rFonts w:asciiTheme="majorHAnsi" w:hAnsiTheme="majorHAnsi"/>
          <w:sz w:val="18"/>
        </w:rPr>
        <w:t>CRI</w:t>
      </w:r>
      <w:r w:rsidR="001D048B">
        <w:rPr>
          <w:rFonts w:asciiTheme="majorHAnsi" w:hAnsiTheme="majorHAnsi"/>
          <w:sz w:val="18"/>
        </w:rPr>
        <w:t xml:space="preserve"> INT</w:t>
      </w:r>
      <w:r w:rsidR="00D46BB5">
        <w:rPr>
          <w:rFonts w:asciiTheme="majorHAnsi" w:hAnsiTheme="majorHAnsi"/>
          <w:sz w:val="18"/>
        </w:rPr>
        <w:t>0</w:t>
      </w:r>
      <w:r w:rsidRPr="00BB7010">
        <w:rPr>
          <w:rFonts w:asciiTheme="majorHAnsi" w:hAnsiTheme="majorHAnsi"/>
          <w:sz w:val="18"/>
        </w:rPr>
        <w:t>105 Leave Types</w:t>
      </w:r>
    </w:p>
    <w:p w14:paraId="760DE53D" w14:textId="4B430E83" w:rsidR="00060D1B" w:rsidRDefault="00060D1B" w:rsidP="00060D1B">
      <w:pPr>
        <w:rPr>
          <w:rFonts w:asciiTheme="majorHAnsi" w:hAnsiTheme="majorHAnsi"/>
          <w:sz w:val="21"/>
        </w:rPr>
      </w:pPr>
    </w:p>
    <w:p w14:paraId="52BD9F6B" w14:textId="77777777" w:rsidR="00BC58EE" w:rsidRPr="005E6FBF" w:rsidRDefault="00BC58EE" w:rsidP="00BC58EE">
      <w:pPr>
        <w:pStyle w:val="Heading2"/>
      </w:pPr>
      <w:r>
        <w:t>Tagging</w:t>
      </w:r>
    </w:p>
    <w:p w14:paraId="4F99A449" w14:textId="77777777" w:rsidR="00BC58EE" w:rsidRDefault="00BC58EE" w:rsidP="00BC58EE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All reports that are used in integrations should be tagged to “Integrations”!</w:t>
      </w:r>
    </w:p>
    <w:p w14:paraId="66908EA8" w14:textId="77777777" w:rsidR="00BC58EE" w:rsidRPr="00F14C1E" w:rsidRDefault="00BC58EE" w:rsidP="00060D1B">
      <w:pPr>
        <w:rPr>
          <w:rFonts w:asciiTheme="majorHAnsi" w:hAnsiTheme="majorHAnsi"/>
          <w:sz w:val="21"/>
        </w:rPr>
      </w:pPr>
    </w:p>
    <w:p w14:paraId="0E20561D" w14:textId="77777777" w:rsidR="00060D1B" w:rsidRPr="005E6FBF" w:rsidRDefault="00060D1B" w:rsidP="00060D1B">
      <w:pPr>
        <w:pStyle w:val="Heading2"/>
      </w:pPr>
      <w:r>
        <w:t>INTEGRATION CALCULATED FIELDS</w:t>
      </w:r>
    </w:p>
    <w:p w14:paraId="0994613E" w14:textId="65A51F2B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 xml:space="preserve">CFI </w:t>
      </w:r>
      <w:r w:rsidR="00916579">
        <w:rPr>
          <w:rFonts w:asciiTheme="majorHAnsi" w:hAnsiTheme="majorHAnsi"/>
          <w:sz w:val="18"/>
        </w:rPr>
        <w:t>[</w:t>
      </w:r>
      <w:r w:rsidRPr="00BB7010">
        <w:rPr>
          <w:rFonts w:asciiTheme="majorHAnsi" w:hAnsiTheme="majorHAnsi"/>
          <w:sz w:val="18"/>
        </w:rPr>
        <w:t>Description</w:t>
      </w:r>
      <w:r w:rsidR="00916579">
        <w:rPr>
          <w:rFonts w:asciiTheme="majorHAnsi" w:hAnsiTheme="majorHAnsi"/>
          <w:sz w:val="18"/>
        </w:rPr>
        <w:t>]</w:t>
      </w:r>
      <w:r w:rsidRPr="00BB7010">
        <w:rPr>
          <w:rFonts w:asciiTheme="majorHAnsi" w:hAnsiTheme="majorHAnsi"/>
          <w:sz w:val="18"/>
        </w:rPr>
        <w:t xml:space="preserve"> </w:t>
      </w:r>
      <w:r w:rsidR="00916579">
        <w:rPr>
          <w:rFonts w:asciiTheme="majorHAnsi" w:hAnsiTheme="majorHAnsi"/>
          <w:sz w:val="18"/>
        </w:rPr>
        <w:t>[</w:t>
      </w:r>
      <w:r w:rsidRPr="00BB7010">
        <w:rPr>
          <w:rFonts w:asciiTheme="majorHAnsi" w:hAnsiTheme="majorHAnsi"/>
          <w:sz w:val="18"/>
        </w:rPr>
        <w:t>Type</w:t>
      </w:r>
      <w:r w:rsidR="00916579">
        <w:rPr>
          <w:rFonts w:asciiTheme="majorHAnsi" w:hAnsiTheme="majorHAnsi"/>
          <w:sz w:val="18"/>
        </w:rPr>
        <w:t>]</w:t>
      </w:r>
    </w:p>
    <w:p w14:paraId="1C633EAC" w14:textId="77777777" w:rsidR="00060D1B" w:rsidRPr="00BB7010" w:rsidRDefault="00060D1B" w:rsidP="00060D1B">
      <w:pPr>
        <w:rPr>
          <w:rFonts w:asciiTheme="majorHAnsi" w:hAnsiTheme="majorHAnsi"/>
          <w:sz w:val="18"/>
        </w:rPr>
      </w:pPr>
    </w:p>
    <w:p w14:paraId="26681A56" w14:textId="77777777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CFI: Calculated Field for Integrations</w:t>
      </w:r>
    </w:p>
    <w:p w14:paraId="02C72485" w14:textId="77777777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Description: short description of what the calc field is doing</w:t>
      </w:r>
      <w:r w:rsidRPr="00D0098D">
        <w:rPr>
          <w:rFonts w:asciiTheme="majorHAnsi" w:hAnsiTheme="majorHAnsi"/>
          <w:sz w:val="18"/>
        </w:rPr>
        <w:t xml:space="preserve"> </w:t>
      </w:r>
    </w:p>
    <w:p w14:paraId="2CD0BC8A" w14:textId="0618EE08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Type: Calculated Field Type</w:t>
      </w:r>
      <w:r>
        <w:rPr>
          <w:rFonts w:asciiTheme="majorHAnsi" w:hAnsiTheme="majorHAnsi"/>
          <w:sz w:val="18"/>
        </w:rPr>
        <w:t xml:space="preserve"> (see </w:t>
      </w:r>
      <w:r w:rsidR="004C60BD">
        <w:rPr>
          <w:rFonts w:asciiTheme="majorHAnsi" w:hAnsiTheme="majorHAnsi"/>
          <w:sz w:val="18"/>
        </w:rPr>
        <w:t>below</w:t>
      </w:r>
      <w:r>
        <w:rPr>
          <w:rFonts w:asciiTheme="majorHAnsi" w:hAnsiTheme="majorHAnsi"/>
          <w:sz w:val="18"/>
        </w:rPr>
        <w:t xml:space="preserve"> for all abbreviations)</w:t>
      </w:r>
    </w:p>
    <w:p w14:paraId="5EDDB2C8" w14:textId="77777777" w:rsidR="00060D1B" w:rsidRPr="00BB7010" w:rsidRDefault="00060D1B" w:rsidP="00060D1B">
      <w:pPr>
        <w:rPr>
          <w:rFonts w:asciiTheme="majorHAnsi" w:hAnsiTheme="majorHAnsi"/>
          <w:sz w:val="18"/>
        </w:rPr>
      </w:pPr>
    </w:p>
    <w:p w14:paraId="7A20796C" w14:textId="77777777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Examples:</w:t>
      </w:r>
    </w:p>
    <w:p w14:paraId="4ADF0B1C" w14:textId="7B5C0789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CFI</w:t>
      </w:r>
      <w:r>
        <w:rPr>
          <w:rFonts w:asciiTheme="majorHAnsi" w:hAnsiTheme="majorHAnsi"/>
          <w:sz w:val="18"/>
        </w:rPr>
        <w:t xml:space="preserve"> </w:t>
      </w:r>
      <w:r w:rsidRPr="00BB7010">
        <w:rPr>
          <w:rFonts w:asciiTheme="majorHAnsi" w:hAnsiTheme="majorHAnsi"/>
          <w:sz w:val="18"/>
        </w:rPr>
        <w:t>Custom ID 1 LRV</w:t>
      </w:r>
    </w:p>
    <w:p w14:paraId="69BA1A25" w14:textId="0FAFCD83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CF</w:t>
      </w:r>
      <w:r>
        <w:rPr>
          <w:rFonts w:asciiTheme="majorHAnsi" w:hAnsiTheme="majorHAnsi"/>
          <w:sz w:val="18"/>
        </w:rPr>
        <w:t>I</w:t>
      </w:r>
      <w:r w:rsidRPr="00BB7010">
        <w:rPr>
          <w:rFonts w:asciiTheme="majorHAnsi" w:hAnsiTheme="majorHAnsi"/>
          <w:sz w:val="18"/>
        </w:rPr>
        <w:t xml:space="preserve"> Employee ID + Name CON</w:t>
      </w:r>
    </w:p>
    <w:p w14:paraId="7CD4F724" w14:textId="77777777" w:rsidR="00060D1B" w:rsidRDefault="00060D1B" w:rsidP="00060D1B">
      <w:pPr>
        <w:rPr>
          <w:rFonts w:asciiTheme="majorHAnsi" w:hAnsiTheme="majorHAnsi"/>
        </w:rPr>
      </w:pPr>
    </w:p>
    <w:p w14:paraId="111A139F" w14:textId="77777777" w:rsidR="00060D1B" w:rsidRPr="005E6FBF" w:rsidRDefault="00060D1B" w:rsidP="00060D1B">
      <w:pPr>
        <w:pStyle w:val="Heading2"/>
      </w:pPr>
      <w:r>
        <w:t>INTEGRATION SERVICES AND SEQUENCE GENERATORS</w:t>
      </w:r>
    </w:p>
    <w:p w14:paraId="306F71D6" w14:textId="5C47F4D8" w:rsidR="00060D1B" w:rsidRDefault="001D048B" w:rsidP="00060D1B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INT</w:t>
      </w:r>
      <w:r w:rsidR="00D46BB5">
        <w:rPr>
          <w:rFonts w:asciiTheme="majorHAnsi" w:hAnsiTheme="majorHAnsi"/>
          <w:sz w:val="18"/>
        </w:rPr>
        <w:t>X</w:t>
      </w:r>
      <w:r w:rsidR="00060D1B" w:rsidRPr="00BB7010">
        <w:rPr>
          <w:rFonts w:asciiTheme="majorHAnsi" w:hAnsiTheme="majorHAnsi"/>
          <w:sz w:val="18"/>
        </w:rPr>
        <w:t xml:space="preserve">XXX </w:t>
      </w:r>
      <w:r>
        <w:rPr>
          <w:rFonts w:asciiTheme="majorHAnsi" w:hAnsiTheme="majorHAnsi"/>
          <w:sz w:val="18"/>
        </w:rPr>
        <w:t>[Type of Services] [Detail]*</w:t>
      </w:r>
    </w:p>
    <w:p w14:paraId="7E25F325" w14:textId="226EE9D3" w:rsidR="001D048B" w:rsidRDefault="001D048B" w:rsidP="00060D1B">
      <w:pPr>
        <w:rPr>
          <w:rFonts w:asciiTheme="majorHAnsi" w:hAnsiTheme="majorHAnsi"/>
          <w:sz w:val="18"/>
        </w:rPr>
      </w:pPr>
    </w:p>
    <w:p w14:paraId="140CF662" w14:textId="5D85020C" w:rsidR="001D048B" w:rsidRPr="00BB7010" w:rsidRDefault="001D048B" w:rsidP="00060D1B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*Detail is only needed for services that are called out below.</w:t>
      </w:r>
    </w:p>
    <w:p w14:paraId="3E6EE5A0" w14:textId="77777777" w:rsidR="00060D1B" w:rsidRPr="00BB7010" w:rsidRDefault="00060D1B" w:rsidP="00060D1B">
      <w:pPr>
        <w:rPr>
          <w:rFonts w:asciiTheme="majorHAnsi" w:hAnsiTheme="majorHAnsi"/>
          <w:sz w:val="18"/>
        </w:rPr>
      </w:pPr>
    </w:p>
    <w:p w14:paraId="3F6BFE85" w14:textId="24C78B65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Type of Service</w:t>
      </w:r>
    </w:p>
    <w:p w14:paraId="2D101487" w14:textId="0036336C" w:rsidR="00060D1B" w:rsidRPr="00BB7010" w:rsidRDefault="00060D1B" w:rsidP="00060D1B">
      <w:pPr>
        <w:pStyle w:val="ListParagraph"/>
        <w:numPr>
          <w:ilvl w:val="0"/>
          <w:numId w:val="5"/>
        </w:num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Field Override</w:t>
      </w:r>
      <w:r w:rsidR="001D048B">
        <w:rPr>
          <w:rFonts w:asciiTheme="majorHAnsi" w:hAnsiTheme="majorHAnsi"/>
          <w:sz w:val="18"/>
        </w:rPr>
        <w:t xml:space="preserve"> – Detail: field override object</w:t>
      </w:r>
    </w:p>
    <w:p w14:paraId="5CF03B35" w14:textId="762ABC34" w:rsidR="00060D1B" w:rsidRPr="00BB7010" w:rsidRDefault="00060D1B" w:rsidP="00060D1B">
      <w:pPr>
        <w:pStyle w:val="ListParagraph"/>
        <w:numPr>
          <w:ilvl w:val="0"/>
          <w:numId w:val="5"/>
        </w:num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Delivery</w:t>
      </w:r>
    </w:p>
    <w:p w14:paraId="071C5AFE" w14:textId="5BFDA812" w:rsidR="00060D1B" w:rsidRPr="00BB7010" w:rsidRDefault="00060D1B" w:rsidP="00060D1B">
      <w:pPr>
        <w:pStyle w:val="ListParagraph"/>
        <w:numPr>
          <w:ilvl w:val="0"/>
          <w:numId w:val="5"/>
        </w:num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Retrieval</w:t>
      </w:r>
    </w:p>
    <w:p w14:paraId="65DB639D" w14:textId="2784C482" w:rsidR="00060D1B" w:rsidRPr="00BB7010" w:rsidRDefault="00060D1B" w:rsidP="00060D1B">
      <w:pPr>
        <w:pStyle w:val="ListParagraph"/>
        <w:numPr>
          <w:ilvl w:val="0"/>
          <w:numId w:val="5"/>
        </w:num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Sequence Gener</w:t>
      </w:r>
      <w:r w:rsidR="001D048B">
        <w:rPr>
          <w:rFonts w:asciiTheme="majorHAnsi" w:hAnsiTheme="majorHAnsi"/>
          <w:sz w:val="18"/>
        </w:rPr>
        <w:t>ator</w:t>
      </w:r>
    </w:p>
    <w:p w14:paraId="2C8977B8" w14:textId="51555961" w:rsidR="00060D1B" w:rsidRPr="00BB7010" w:rsidRDefault="00060D1B" w:rsidP="00060D1B">
      <w:pPr>
        <w:pStyle w:val="ListParagraph"/>
        <w:numPr>
          <w:ilvl w:val="0"/>
          <w:numId w:val="5"/>
        </w:num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Integration Map</w:t>
      </w:r>
      <w:r w:rsidR="001D048B">
        <w:rPr>
          <w:rFonts w:asciiTheme="majorHAnsi" w:hAnsiTheme="majorHAnsi"/>
          <w:sz w:val="18"/>
        </w:rPr>
        <w:t xml:space="preserve"> (Mapping)</w:t>
      </w:r>
    </w:p>
    <w:p w14:paraId="30C2A716" w14:textId="41AD8B4C" w:rsidR="00060D1B" w:rsidRPr="00BB7010" w:rsidRDefault="00060D1B" w:rsidP="00060D1B">
      <w:pPr>
        <w:pStyle w:val="ListParagraph"/>
        <w:numPr>
          <w:ilvl w:val="0"/>
          <w:numId w:val="5"/>
        </w:num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Integration Attribute</w:t>
      </w:r>
      <w:r w:rsidR="001D048B">
        <w:rPr>
          <w:rFonts w:asciiTheme="majorHAnsi" w:hAnsiTheme="majorHAnsi"/>
          <w:sz w:val="18"/>
        </w:rPr>
        <w:t xml:space="preserve"> (Attributes)</w:t>
      </w:r>
    </w:p>
    <w:p w14:paraId="3690B748" w14:textId="0D9A3039" w:rsidR="00060D1B" w:rsidRPr="00BB7010" w:rsidRDefault="00060D1B" w:rsidP="00060D1B">
      <w:pPr>
        <w:pStyle w:val="ListParagraph"/>
        <w:numPr>
          <w:ilvl w:val="0"/>
          <w:numId w:val="5"/>
        </w:num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Custom Object</w:t>
      </w:r>
      <w:r w:rsidR="001D048B">
        <w:rPr>
          <w:rFonts w:asciiTheme="majorHAnsi" w:hAnsiTheme="majorHAnsi"/>
          <w:sz w:val="18"/>
        </w:rPr>
        <w:t xml:space="preserve"> – Detail: primary object</w:t>
      </w:r>
    </w:p>
    <w:p w14:paraId="0FE1B31B" w14:textId="0F8E4E2B" w:rsidR="00060D1B" w:rsidRDefault="00060D1B" w:rsidP="00060D1B">
      <w:pPr>
        <w:pStyle w:val="ListParagraph"/>
        <w:numPr>
          <w:ilvl w:val="0"/>
          <w:numId w:val="5"/>
        </w:num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Transaction Log</w:t>
      </w:r>
    </w:p>
    <w:p w14:paraId="61597F4B" w14:textId="77777777" w:rsidR="001D048B" w:rsidRPr="001D048B" w:rsidRDefault="001D048B" w:rsidP="001D048B">
      <w:pPr>
        <w:pStyle w:val="ListParagraph"/>
        <w:rPr>
          <w:rFonts w:asciiTheme="majorHAnsi" w:hAnsiTheme="majorHAnsi"/>
          <w:sz w:val="18"/>
        </w:rPr>
      </w:pPr>
    </w:p>
    <w:p w14:paraId="60A0B965" w14:textId="77777777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Examples:</w:t>
      </w:r>
    </w:p>
    <w:p w14:paraId="7E9A4368" w14:textId="51810879" w:rsidR="001D048B" w:rsidRDefault="001D048B" w:rsidP="00060D1B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INT0</w:t>
      </w:r>
      <w:r w:rsidR="00D46BB5">
        <w:rPr>
          <w:rFonts w:asciiTheme="majorHAnsi" w:hAnsiTheme="majorHAnsi"/>
          <w:sz w:val="18"/>
        </w:rPr>
        <w:t>0</w:t>
      </w:r>
      <w:r>
        <w:rPr>
          <w:rFonts w:asciiTheme="majorHAnsi" w:hAnsiTheme="majorHAnsi"/>
          <w:sz w:val="18"/>
        </w:rPr>
        <w:t>01 Field Override – Worker</w:t>
      </w:r>
    </w:p>
    <w:p w14:paraId="2C9BFBFF" w14:textId="488113CC" w:rsidR="00060D1B" w:rsidRPr="00BB7010" w:rsidRDefault="001D048B" w:rsidP="00060D1B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INT</w:t>
      </w:r>
      <w:r w:rsidR="00060D1B" w:rsidRPr="00BB7010">
        <w:rPr>
          <w:rFonts w:asciiTheme="majorHAnsi" w:hAnsiTheme="majorHAnsi"/>
          <w:sz w:val="18"/>
        </w:rPr>
        <w:t>0</w:t>
      </w:r>
      <w:r w:rsidR="00D46BB5">
        <w:rPr>
          <w:rFonts w:asciiTheme="majorHAnsi" w:hAnsiTheme="majorHAnsi"/>
          <w:sz w:val="18"/>
        </w:rPr>
        <w:t>0</w:t>
      </w:r>
      <w:r w:rsidR="00060D1B" w:rsidRPr="00BB7010">
        <w:rPr>
          <w:rFonts w:asciiTheme="majorHAnsi" w:hAnsiTheme="majorHAnsi"/>
          <w:sz w:val="18"/>
        </w:rPr>
        <w:t xml:space="preserve">01 </w:t>
      </w:r>
      <w:r>
        <w:rPr>
          <w:rFonts w:asciiTheme="majorHAnsi" w:hAnsiTheme="majorHAnsi"/>
          <w:sz w:val="18"/>
        </w:rPr>
        <w:t>Sequence Generator</w:t>
      </w:r>
    </w:p>
    <w:p w14:paraId="04ECDBD5" w14:textId="77777777" w:rsidR="00060D1B" w:rsidRDefault="00060D1B" w:rsidP="00060D1B">
      <w:pPr>
        <w:rPr>
          <w:rFonts w:asciiTheme="majorHAnsi" w:hAnsiTheme="majorHAnsi"/>
        </w:rPr>
      </w:pPr>
    </w:p>
    <w:p w14:paraId="0DBA2EC2" w14:textId="77777777" w:rsidR="00060D1B" w:rsidRPr="005E6FBF" w:rsidRDefault="00060D1B" w:rsidP="00060D1B">
      <w:pPr>
        <w:pStyle w:val="Heading2"/>
      </w:pPr>
      <w:r>
        <w:t>INTEGRATION SECURITY USERS</w:t>
      </w:r>
    </w:p>
    <w:p w14:paraId="3AA07AAE" w14:textId="6448C5CF" w:rsidR="00060D1B" w:rsidRPr="00BB7010" w:rsidRDefault="00060D1B" w:rsidP="00060D1B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ISU</w:t>
      </w:r>
      <w:r w:rsidR="001D048B">
        <w:rPr>
          <w:rFonts w:asciiTheme="majorHAnsi" w:hAnsiTheme="majorHAnsi"/>
          <w:sz w:val="18"/>
        </w:rPr>
        <w:t xml:space="preserve"> INT</w:t>
      </w:r>
      <w:r w:rsidR="00D46BB5">
        <w:rPr>
          <w:rFonts w:asciiTheme="majorHAnsi" w:hAnsiTheme="majorHAnsi"/>
          <w:sz w:val="18"/>
        </w:rPr>
        <w:t>X</w:t>
      </w:r>
      <w:r w:rsidRPr="00BB7010">
        <w:rPr>
          <w:rFonts w:asciiTheme="majorHAnsi" w:hAnsiTheme="majorHAnsi"/>
          <w:sz w:val="18"/>
        </w:rPr>
        <w:t xml:space="preserve">XXX [Integration </w:t>
      </w:r>
      <w:r>
        <w:rPr>
          <w:rFonts w:asciiTheme="majorHAnsi" w:hAnsiTheme="majorHAnsi"/>
          <w:sz w:val="18"/>
        </w:rPr>
        <w:t>Name</w:t>
      </w:r>
      <w:r w:rsidRPr="00BB7010">
        <w:rPr>
          <w:rFonts w:asciiTheme="majorHAnsi" w:hAnsiTheme="majorHAnsi"/>
          <w:sz w:val="18"/>
        </w:rPr>
        <w:t>]</w:t>
      </w:r>
    </w:p>
    <w:p w14:paraId="398F3383" w14:textId="77777777" w:rsidR="00060D1B" w:rsidRDefault="00060D1B" w:rsidP="00060D1B">
      <w:pPr>
        <w:rPr>
          <w:rFonts w:asciiTheme="majorHAnsi" w:hAnsiTheme="majorHAnsi"/>
        </w:rPr>
      </w:pPr>
    </w:p>
    <w:p w14:paraId="45B7FB50" w14:textId="1A653FB6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lastRenderedPageBreak/>
        <w:t>X</w:t>
      </w:r>
      <w:r w:rsidR="00D46BB5">
        <w:rPr>
          <w:rFonts w:asciiTheme="majorHAnsi" w:hAnsiTheme="majorHAnsi"/>
          <w:sz w:val="18"/>
        </w:rPr>
        <w:t>X</w:t>
      </w:r>
      <w:r w:rsidRPr="00BB7010">
        <w:rPr>
          <w:rFonts w:asciiTheme="majorHAnsi" w:hAnsiTheme="majorHAnsi"/>
          <w:sz w:val="18"/>
        </w:rPr>
        <w:t>XX: Integration Number</w:t>
      </w:r>
    </w:p>
    <w:p w14:paraId="3E30F3EB" w14:textId="77777777" w:rsidR="00060D1B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 xml:space="preserve">Integration Name: Copy the integration name for which the </w:t>
      </w:r>
      <w:r>
        <w:rPr>
          <w:rFonts w:asciiTheme="majorHAnsi" w:hAnsiTheme="majorHAnsi"/>
          <w:sz w:val="18"/>
        </w:rPr>
        <w:t>ISU</w:t>
      </w:r>
      <w:r w:rsidRPr="00BB7010">
        <w:rPr>
          <w:rFonts w:asciiTheme="majorHAnsi" w:hAnsiTheme="majorHAnsi"/>
          <w:sz w:val="18"/>
        </w:rPr>
        <w:t xml:space="preserve"> is being used.</w:t>
      </w:r>
    </w:p>
    <w:p w14:paraId="770A5FA0" w14:textId="77777777" w:rsidR="00060D1B" w:rsidRDefault="00060D1B" w:rsidP="00060D1B">
      <w:pPr>
        <w:rPr>
          <w:rFonts w:asciiTheme="majorHAnsi" w:hAnsiTheme="majorHAnsi"/>
        </w:rPr>
      </w:pPr>
    </w:p>
    <w:p w14:paraId="6403747C" w14:textId="77777777" w:rsidR="00060D1B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Example</w:t>
      </w:r>
      <w:r>
        <w:rPr>
          <w:rFonts w:asciiTheme="majorHAnsi" w:hAnsiTheme="majorHAnsi"/>
          <w:sz w:val="18"/>
        </w:rPr>
        <w:t>:</w:t>
      </w:r>
    </w:p>
    <w:p w14:paraId="7398A085" w14:textId="59C834DB" w:rsidR="00060D1B" w:rsidRPr="00BB7010" w:rsidRDefault="00060D1B" w:rsidP="00060D1B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ISU</w:t>
      </w:r>
      <w:r w:rsidR="001D048B">
        <w:rPr>
          <w:rFonts w:asciiTheme="majorHAnsi" w:hAnsiTheme="majorHAnsi"/>
          <w:sz w:val="18"/>
        </w:rPr>
        <w:t xml:space="preserve"> INT</w:t>
      </w:r>
      <w:r w:rsidR="00D46BB5">
        <w:rPr>
          <w:rFonts w:asciiTheme="majorHAnsi" w:hAnsiTheme="majorHAnsi"/>
          <w:sz w:val="18"/>
        </w:rPr>
        <w:t>0</w:t>
      </w:r>
      <w:r>
        <w:rPr>
          <w:rFonts w:asciiTheme="majorHAnsi" w:hAnsiTheme="majorHAnsi"/>
          <w:sz w:val="18"/>
        </w:rPr>
        <w:t>001 CCW Outbound File Name</w:t>
      </w:r>
    </w:p>
    <w:p w14:paraId="297DC035" w14:textId="77777777" w:rsidR="00060D1B" w:rsidRDefault="00060D1B" w:rsidP="00060D1B">
      <w:pPr>
        <w:rPr>
          <w:rFonts w:asciiTheme="majorHAnsi" w:hAnsiTheme="majorHAnsi"/>
        </w:rPr>
      </w:pPr>
    </w:p>
    <w:p w14:paraId="584376F0" w14:textId="77777777" w:rsidR="00060D1B" w:rsidRPr="005E6FBF" w:rsidRDefault="00060D1B" w:rsidP="00060D1B">
      <w:pPr>
        <w:pStyle w:val="Heading2"/>
      </w:pPr>
      <w:r>
        <w:t>INTEGRATION SECURITY GROUPS</w:t>
      </w:r>
    </w:p>
    <w:p w14:paraId="2F36AC2E" w14:textId="12711142" w:rsidR="00060D1B" w:rsidRPr="00BB7010" w:rsidRDefault="00060D1B" w:rsidP="00060D1B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ISSG</w:t>
      </w:r>
      <w:r w:rsidR="001D048B">
        <w:rPr>
          <w:rFonts w:asciiTheme="majorHAnsi" w:hAnsiTheme="majorHAnsi"/>
          <w:sz w:val="18"/>
        </w:rPr>
        <w:t xml:space="preserve"> INT</w:t>
      </w:r>
      <w:r w:rsidRPr="00BB7010">
        <w:rPr>
          <w:rFonts w:asciiTheme="majorHAnsi" w:hAnsiTheme="majorHAnsi"/>
          <w:sz w:val="18"/>
        </w:rPr>
        <w:t>X</w:t>
      </w:r>
      <w:r w:rsidR="00D46BB5">
        <w:rPr>
          <w:rFonts w:asciiTheme="majorHAnsi" w:hAnsiTheme="majorHAnsi"/>
          <w:sz w:val="18"/>
        </w:rPr>
        <w:t>X</w:t>
      </w:r>
      <w:r w:rsidRPr="00BB7010">
        <w:rPr>
          <w:rFonts w:asciiTheme="majorHAnsi" w:hAnsiTheme="majorHAnsi"/>
          <w:sz w:val="18"/>
        </w:rPr>
        <w:t xml:space="preserve">XX [Integration </w:t>
      </w:r>
      <w:r>
        <w:rPr>
          <w:rFonts w:asciiTheme="majorHAnsi" w:hAnsiTheme="majorHAnsi"/>
          <w:sz w:val="18"/>
        </w:rPr>
        <w:t>Name</w:t>
      </w:r>
      <w:r w:rsidRPr="00BB7010">
        <w:rPr>
          <w:rFonts w:asciiTheme="majorHAnsi" w:hAnsiTheme="majorHAnsi"/>
          <w:sz w:val="18"/>
        </w:rPr>
        <w:t>]</w:t>
      </w:r>
    </w:p>
    <w:p w14:paraId="5F783621" w14:textId="77777777" w:rsidR="00060D1B" w:rsidRDefault="00060D1B" w:rsidP="00060D1B">
      <w:pPr>
        <w:rPr>
          <w:rFonts w:asciiTheme="majorHAnsi" w:hAnsiTheme="majorHAnsi"/>
        </w:rPr>
      </w:pPr>
    </w:p>
    <w:p w14:paraId="21C16C87" w14:textId="5DAAB8A8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X</w:t>
      </w:r>
      <w:r w:rsidR="00D46BB5">
        <w:rPr>
          <w:rFonts w:asciiTheme="majorHAnsi" w:hAnsiTheme="majorHAnsi"/>
          <w:sz w:val="18"/>
        </w:rPr>
        <w:t>X</w:t>
      </w:r>
      <w:r w:rsidRPr="00BB7010">
        <w:rPr>
          <w:rFonts w:asciiTheme="majorHAnsi" w:hAnsiTheme="majorHAnsi"/>
          <w:sz w:val="18"/>
        </w:rPr>
        <w:t>XX: Integration Number</w:t>
      </w:r>
    </w:p>
    <w:p w14:paraId="146D3709" w14:textId="77777777" w:rsidR="00060D1B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 xml:space="preserve">Integration Name: Copy the integration name for which the </w:t>
      </w:r>
      <w:r>
        <w:rPr>
          <w:rFonts w:asciiTheme="majorHAnsi" w:hAnsiTheme="majorHAnsi"/>
          <w:sz w:val="18"/>
        </w:rPr>
        <w:t>ISSG</w:t>
      </w:r>
      <w:r w:rsidRPr="00BB7010">
        <w:rPr>
          <w:rFonts w:asciiTheme="majorHAnsi" w:hAnsiTheme="majorHAnsi"/>
          <w:sz w:val="18"/>
        </w:rPr>
        <w:t xml:space="preserve"> is being used.</w:t>
      </w:r>
    </w:p>
    <w:p w14:paraId="3CE50C64" w14:textId="77777777" w:rsidR="00060D1B" w:rsidRDefault="00060D1B" w:rsidP="00060D1B">
      <w:pPr>
        <w:rPr>
          <w:rFonts w:asciiTheme="majorHAnsi" w:hAnsiTheme="majorHAnsi"/>
        </w:rPr>
      </w:pPr>
    </w:p>
    <w:p w14:paraId="3A19340B" w14:textId="77777777" w:rsidR="00060D1B" w:rsidRPr="00BB7010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Example:</w:t>
      </w:r>
    </w:p>
    <w:p w14:paraId="73EE4A0F" w14:textId="5AD852F0" w:rsidR="00060D1B" w:rsidRDefault="00060D1B" w:rsidP="00060D1B">
      <w:pPr>
        <w:rPr>
          <w:rFonts w:asciiTheme="majorHAnsi" w:hAnsiTheme="majorHAnsi"/>
          <w:sz w:val="18"/>
        </w:rPr>
      </w:pPr>
      <w:r w:rsidRPr="00BB7010">
        <w:rPr>
          <w:rFonts w:asciiTheme="majorHAnsi" w:hAnsiTheme="majorHAnsi"/>
          <w:sz w:val="18"/>
        </w:rPr>
        <w:t>ISSG</w:t>
      </w:r>
      <w:r w:rsidR="001D048B">
        <w:rPr>
          <w:rFonts w:asciiTheme="majorHAnsi" w:hAnsiTheme="majorHAnsi"/>
          <w:sz w:val="18"/>
        </w:rPr>
        <w:t xml:space="preserve"> INT</w:t>
      </w:r>
      <w:r w:rsidRPr="00BB7010">
        <w:rPr>
          <w:rFonts w:asciiTheme="majorHAnsi" w:hAnsiTheme="majorHAnsi"/>
          <w:sz w:val="18"/>
        </w:rPr>
        <w:t>0</w:t>
      </w:r>
      <w:r w:rsidR="00D46BB5">
        <w:rPr>
          <w:rFonts w:asciiTheme="majorHAnsi" w:hAnsiTheme="majorHAnsi"/>
          <w:sz w:val="18"/>
        </w:rPr>
        <w:t>0</w:t>
      </w:r>
      <w:r w:rsidRPr="00BB7010">
        <w:rPr>
          <w:rFonts w:asciiTheme="majorHAnsi" w:hAnsiTheme="majorHAnsi"/>
          <w:sz w:val="18"/>
        </w:rPr>
        <w:t>01 CCW Outbound File Name</w:t>
      </w:r>
    </w:p>
    <w:p w14:paraId="37F2B5ED" w14:textId="753A1EC9" w:rsidR="00D5265D" w:rsidRDefault="00D5265D" w:rsidP="00060D1B">
      <w:pPr>
        <w:rPr>
          <w:rFonts w:asciiTheme="majorHAnsi" w:hAnsiTheme="majorHAnsi"/>
          <w:sz w:val="18"/>
        </w:rPr>
      </w:pPr>
    </w:p>
    <w:p w14:paraId="51BBEF1E" w14:textId="5FAC41BB" w:rsidR="00D5265D" w:rsidRDefault="00D5265D" w:rsidP="00060D1B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 xml:space="preserve">NOTE: Workday defaults your ISSG Reference ID to “Integration_Security_Group_12345”. You MUST edit the Reference ID for each ISSG that you create to </w:t>
      </w:r>
      <w:r w:rsidR="003E31CD">
        <w:rPr>
          <w:rFonts w:asciiTheme="majorHAnsi" w:hAnsiTheme="majorHAnsi"/>
          <w:sz w:val="18"/>
        </w:rPr>
        <w:t>have a human-readable ID. Simply change the spaces in your ISSG n</w:t>
      </w:r>
      <w:r w:rsidR="006D4CDC">
        <w:rPr>
          <w:rFonts w:asciiTheme="majorHAnsi" w:hAnsiTheme="majorHAnsi"/>
          <w:sz w:val="18"/>
        </w:rPr>
        <w:t>ame to underscores for your Ref ID. (</w:t>
      </w:r>
      <w:proofErr w:type="gramStart"/>
      <w:r w:rsidR="006D4CDC">
        <w:rPr>
          <w:rFonts w:asciiTheme="majorHAnsi" w:hAnsiTheme="majorHAnsi"/>
          <w:sz w:val="18"/>
        </w:rPr>
        <w:t>i.e.</w:t>
      </w:r>
      <w:proofErr w:type="gramEnd"/>
      <w:r w:rsidR="006D4CDC">
        <w:rPr>
          <w:rFonts w:asciiTheme="majorHAnsi" w:hAnsiTheme="majorHAnsi"/>
          <w:sz w:val="18"/>
        </w:rPr>
        <w:t xml:space="preserve"> if your ISSG name is ISSG INT123 Worker Data Outbound, the ref ID should be ISSG_INT123_Worker_Data_Outbound).</w:t>
      </w:r>
    </w:p>
    <w:p w14:paraId="6E6279C6" w14:textId="77777777" w:rsidR="00A47EEF" w:rsidRDefault="00A47EEF" w:rsidP="00060D1B">
      <w:pPr>
        <w:rPr>
          <w:rFonts w:asciiTheme="majorHAnsi" w:hAnsiTheme="majorHAnsi"/>
          <w:sz w:val="18"/>
        </w:rPr>
      </w:pPr>
    </w:p>
    <w:p w14:paraId="2264DEAA" w14:textId="77FA084E" w:rsidR="007622DA" w:rsidRPr="00F14C1E" w:rsidRDefault="007622DA" w:rsidP="005A5990">
      <w:pPr>
        <w:ind w:right="54"/>
        <w:rPr>
          <w:rStyle w:val="SubtleEmphasis"/>
          <w:rFonts w:asciiTheme="majorHAnsi" w:hAnsiTheme="majorHAnsi"/>
          <w:i w:val="0"/>
          <w:color w:val="000000" w:themeColor="text1"/>
        </w:rPr>
      </w:pPr>
    </w:p>
    <w:p w14:paraId="6C9C6F0D" w14:textId="77777777" w:rsidR="00060D1B" w:rsidRDefault="00060D1B" w:rsidP="00060D1B">
      <w:pPr>
        <w:pStyle w:val="Heading2"/>
      </w:pPr>
      <w:r>
        <w:t>CACULATED FIELD ABBREVIATIONS</w:t>
      </w:r>
    </w:p>
    <w:p w14:paraId="485D3118" w14:textId="77777777" w:rsidR="00060D1B" w:rsidRPr="00A55A0D" w:rsidRDefault="00060D1B" w:rsidP="00060D1B"/>
    <w:p w14:paraId="3A314ACC" w14:textId="77777777" w:rsidR="00060D1B" w:rsidRPr="00F92935" w:rsidRDefault="00060D1B" w:rsidP="00060D1B">
      <w:pPr>
        <w:rPr>
          <w:rFonts w:asciiTheme="majorHAnsi" w:hAnsiTheme="majorHAnsi"/>
          <w:sz w:val="18"/>
        </w:rPr>
      </w:pPr>
      <w:r>
        <w:rPr>
          <w:noProof/>
        </w:rPr>
        <w:drawing>
          <wp:inline distT="0" distB="0" distL="0" distR="0" wp14:anchorId="365F12C0" wp14:editId="785F2FCE">
            <wp:extent cx="6743700" cy="3236595"/>
            <wp:effectExtent l="0" t="0" r="0" b="1905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0CD1CF9-4D81-49BA-9136-8D31AD1529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00CD1CF9-4D81-49BA-9136-8D31AD1529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4F3A" w14:textId="77777777" w:rsidR="00060D1B" w:rsidRPr="00BB7010" w:rsidRDefault="00060D1B" w:rsidP="00060D1B">
      <w:pPr>
        <w:rPr>
          <w:rFonts w:asciiTheme="majorHAnsi" w:hAnsiTheme="majorHAnsi"/>
          <w:sz w:val="18"/>
        </w:rPr>
      </w:pPr>
    </w:p>
    <w:p w14:paraId="12BEF57B" w14:textId="753BD911" w:rsidR="00B21118" w:rsidRDefault="00B21118">
      <w:pPr>
        <w:rPr>
          <w:rFonts w:asciiTheme="majorHAnsi" w:hAnsiTheme="majorHAnsi"/>
          <w:sz w:val="18"/>
        </w:rPr>
      </w:pPr>
    </w:p>
    <w:p w14:paraId="201C7843" w14:textId="01460B07" w:rsidR="00A55824" w:rsidRPr="005E6FBF" w:rsidRDefault="00A55824" w:rsidP="00A55824">
      <w:pPr>
        <w:pStyle w:val="Heading2"/>
      </w:pPr>
      <w:r>
        <w:t>Key Naming Conventions</w:t>
      </w:r>
    </w:p>
    <w:p w14:paraId="7F3E7150" w14:textId="6168861C" w:rsidR="00A55824" w:rsidRDefault="00A55824" w:rsidP="00A55824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[Type of key] [Vendor] [Tenant]</w:t>
      </w:r>
    </w:p>
    <w:p w14:paraId="01EDCE3F" w14:textId="1B0DF3D9" w:rsidR="00A55824" w:rsidRDefault="00A55824" w:rsidP="00A55824">
      <w:pPr>
        <w:rPr>
          <w:rFonts w:asciiTheme="majorHAnsi" w:hAnsiTheme="majorHAnsi"/>
          <w:sz w:val="18"/>
        </w:rPr>
      </w:pPr>
    </w:p>
    <w:p w14:paraId="01507EB7" w14:textId="14492A71" w:rsidR="00A55824" w:rsidRDefault="00A55824" w:rsidP="00A55824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Type of key: This can either be x509 or PGP, depending on if the key is being used for authentication or for encryption.</w:t>
      </w:r>
    </w:p>
    <w:p w14:paraId="55EDDA56" w14:textId="077FAC8E" w:rsidR="00A55824" w:rsidRPr="00BB7010" w:rsidRDefault="00A55824" w:rsidP="00A55824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Tenant: This is being included because</w:t>
      </w:r>
      <w:r w:rsidR="004C6D5C">
        <w:rPr>
          <w:rFonts w:asciiTheme="majorHAnsi" w:hAnsiTheme="majorHAnsi"/>
          <w:sz w:val="18"/>
        </w:rPr>
        <w:t xml:space="preserve"> the first keys that are sent in the Configure &amp; Prototype phase will need to be changed when we enter the End-to-End phase</w:t>
      </w:r>
      <w:r>
        <w:rPr>
          <w:rFonts w:asciiTheme="majorHAnsi" w:hAnsiTheme="majorHAnsi"/>
          <w:sz w:val="18"/>
        </w:rPr>
        <w:t>. After go-live, there will need to be a key for Production and one for Sandbox, and this also reduces the confusion for these scenarios.</w:t>
      </w:r>
      <w:r w:rsidR="00014738">
        <w:rPr>
          <w:rFonts w:asciiTheme="majorHAnsi" w:hAnsiTheme="majorHAnsi"/>
          <w:sz w:val="18"/>
        </w:rPr>
        <w:t xml:space="preserve"> Examples: </w:t>
      </w:r>
      <w:r w:rsidR="004C6D5C">
        <w:rPr>
          <w:rFonts w:asciiTheme="majorHAnsi" w:hAnsiTheme="majorHAnsi"/>
          <w:sz w:val="18"/>
        </w:rPr>
        <w:t>C&amp;P, E2E,</w:t>
      </w:r>
      <w:r w:rsidR="006432D9">
        <w:rPr>
          <w:rFonts w:asciiTheme="majorHAnsi" w:hAnsiTheme="majorHAnsi"/>
          <w:sz w:val="18"/>
        </w:rPr>
        <w:t xml:space="preserve"> PARALLEL,</w:t>
      </w:r>
      <w:r w:rsidR="004C6D5C">
        <w:rPr>
          <w:rFonts w:asciiTheme="majorHAnsi" w:hAnsiTheme="majorHAnsi"/>
          <w:sz w:val="18"/>
        </w:rPr>
        <w:t xml:space="preserve"> PROD, SBX</w:t>
      </w:r>
    </w:p>
    <w:p w14:paraId="198DF523" w14:textId="77777777" w:rsidR="00A55824" w:rsidRDefault="00A55824" w:rsidP="00A55824">
      <w:pPr>
        <w:rPr>
          <w:rFonts w:asciiTheme="majorHAnsi" w:hAnsiTheme="majorHAnsi"/>
        </w:rPr>
      </w:pPr>
    </w:p>
    <w:p w14:paraId="6682A1CF" w14:textId="3C86766A" w:rsidR="001D048B" w:rsidRDefault="001D048B">
      <w:pPr>
        <w:rPr>
          <w:rFonts w:asciiTheme="majorHAnsi" w:hAnsiTheme="majorHAnsi"/>
          <w:sz w:val="18"/>
        </w:rPr>
      </w:pPr>
    </w:p>
    <w:p w14:paraId="0D798FC9" w14:textId="0B8DCC3E" w:rsidR="001D048B" w:rsidRDefault="001D048B">
      <w:pPr>
        <w:rPr>
          <w:rFonts w:asciiTheme="majorHAnsi" w:hAnsiTheme="majorHAnsi"/>
          <w:sz w:val="18"/>
        </w:rPr>
      </w:pPr>
    </w:p>
    <w:p w14:paraId="59E11F2B" w14:textId="3C2B4E33" w:rsidR="001D048B" w:rsidRDefault="001D048B">
      <w:pPr>
        <w:rPr>
          <w:rFonts w:asciiTheme="majorHAnsi" w:hAnsiTheme="majorHAnsi"/>
          <w:sz w:val="18"/>
        </w:rPr>
      </w:pPr>
    </w:p>
    <w:p w14:paraId="6463CF45" w14:textId="6413749D" w:rsidR="00F71982" w:rsidRDefault="00F71982">
      <w:pPr>
        <w:rPr>
          <w:rFonts w:asciiTheme="majorHAnsi" w:hAnsiTheme="majorHAnsi"/>
          <w:sz w:val="18"/>
        </w:rPr>
      </w:pPr>
    </w:p>
    <w:p w14:paraId="596D901D" w14:textId="5B3E83A6" w:rsidR="00F71982" w:rsidRDefault="00F71982">
      <w:pPr>
        <w:rPr>
          <w:rFonts w:asciiTheme="majorHAnsi" w:hAnsiTheme="majorHAnsi"/>
          <w:sz w:val="18"/>
        </w:rPr>
      </w:pPr>
    </w:p>
    <w:p w14:paraId="084D4C5A" w14:textId="1876D265" w:rsidR="00F71982" w:rsidRDefault="00F71982">
      <w:pPr>
        <w:rPr>
          <w:rFonts w:asciiTheme="majorHAnsi" w:hAnsiTheme="majorHAnsi"/>
          <w:sz w:val="18"/>
        </w:rPr>
      </w:pPr>
    </w:p>
    <w:p w14:paraId="21721AED" w14:textId="77777777" w:rsidR="00F71982" w:rsidRDefault="00F71982">
      <w:pPr>
        <w:rPr>
          <w:rFonts w:asciiTheme="majorHAnsi" w:hAnsiTheme="majorHAnsi"/>
          <w:sz w:val="18"/>
        </w:rPr>
      </w:pPr>
    </w:p>
    <w:p w14:paraId="474F1FBC" w14:textId="6B0E09D0" w:rsidR="004C60BD" w:rsidRPr="001D048B" w:rsidRDefault="004C60BD" w:rsidP="004C60BD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SECURITY</w:t>
      </w:r>
    </w:p>
    <w:p w14:paraId="41815859" w14:textId="5D20A7E7" w:rsidR="004C60BD" w:rsidRDefault="004C60BD" w:rsidP="004C60BD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Following </w:t>
      </w:r>
      <w:r w:rsidR="001F6B3A">
        <w:rPr>
          <w:rFonts w:asciiTheme="majorHAnsi" w:hAnsiTheme="majorHAnsi"/>
          <w:sz w:val="18"/>
          <w:szCs w:val="18"/>
        </w:rPr>
        <w:t xml:space="preserve">Workday’s prescribed </w:t>
      </w:r>
      <w:r w:rsidR="00643D7E">
        <w:rPr>
          <w:rFonts w:asciiTheme="majorHAnsi" w:hAnsiTheme="majorHAnsi"/>
          <w:sz w:val="18"/>
          <w:szCs w:val="18"/>
        </w:rPr>
        <w:t>best practices, the standards for integration security users and security groups are below:</w:t>
      </w:r>
    </w:p>
    <w:p w14:paraId="1A94E4F7" w14:textId="77777777" w:rsidR="00643D7E" w:rsidRDefault="00643D7E" w:rsidP="004C60BD">
      <w:pPr>
        <w:rPr>
          <w:rFonts w:asciiTheme="majorHAnsi" w:hAnsiTheme="majorHAnsi"/>
          <w:sz w:val="18"/>
          <w:szCs w:val="18"/>
        </w:rPr>
      </w:pPr>
    </w:p>
    <w:p w14:paraId="6DBF7743" w14:textId="736EE258" w:rsidR="001D048B" w:rsidRDefault="00643D7E" w:rsidP="00643D7E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There must be one Integration Security User (ISU) for each Integration System Security Group (ISSG), and vice-versa. This is so that we can build a prescribed security setup for each integration independently, giving it exactly the amount of security necessary to run correctly.</w:t>
      </w:r>
    </w:p>
    <w:p w14:paraId="7FEE4FF0" w14:textId="7B82B155" w:rsidR="003F63E4" w:rsidRDefault="003F63E4" w:rsidP="00643D7E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The ISU </w:t>
      </w:r>
      <w:r w:rsidR="00DA251A">
        <w:rPr>
          <w:sz w:val="18"/>
          <w:szCs w:val="18"/>
        </w:rPr>
        <w:t>will</w:t>
      </w:r>
      <w:r>
        <w:rPr>
          <w:sz w:val="18"/>
          <w:szCs w:val="18"/>
        </w:rPr>
        <w:t xml:space="preserve"> own the integration system, any subsequent integration systems within the same business process, and any reports used within these integration systems.</w:t>
      </w:r>
    </w:p>
    <w:p w14:paraId="50A5FDDE" w14:textId="5FD9FBEB" w:rsidR="003F63E4" w:rsidRDefault="002F088E" w:rsidP="00643D7E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The ISU will own </w:t>
      </w:r>
      <w:r w:rsidR="007974B6">
        <w:rPr>
          <w:sz w:val="18"/>
          <w:szCs w:val="18"/>
        </w:rPr>
        <w:t>integration schedules after go-live.</w:t>
      </w:r>
    </w:p>
    <w:p w14:paraId="48A251E5" w14:textId="10620634" w:rsidR="00DA251A" w:rsidRDefault="00DA251A" w:rsidP="00643D7E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The ISU requires a password when it is created. The password should be a random combination of alpha-numeric characters.</w:t>
      </w:r>
    </w:p>
    <w:p w14:paraId="1B94AF97" w14:textId="77777777" w:rsidR="00B74B91" w:rsidRDefault="00B74B91" w:rsidP="00B74B91">
      <w:pPr>
        <w:pStyle w:val="ListParagraph"/>
        <w:rPr>
          <w:sz w:val="18"/>
          <w:szCs w:val="18"/>
        </w:rPr>
      </w:pPr>
    </w:p>
    <w:p w14:paraId="3F6E1F94" w14:textId="2153089E" w:rsidR="00B74B91" w:rsidRDefault="00B74B91" w:rsidP="00B74B91">
      <w:pPr>
        <w:pStyle w:val="Heading2"/>
      </w:pPr>
      <w:r>
        <w:t>ADDING SECURITY POLICIES TO SECURITY GROUPS</w:t>
      </w:r>
    </w:p>
    <w:p w14:paraId="097E66A0" w14:textId="33E69CF5" w:rsidR="00B74B91" w:rsidRDefault="00B74B91" w:rsidP="00B74B91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To correctly add a security policy to an Integration System Security Group, go to the </w:t>
      </w:r>
      <w:r w:rsidR="009A519B">
        <w:rPr>
          <w:sz w:val="18"/>
          <w:szCs w:val="18"/>
        </w:rPr>
        <w:t xml:space="preserve">View Domain Security Policy for the specific security policy that you want to add. At the bottom of the page, use the Edit Permissions button and add your security group. </w:t>
      </w:r>
    </w:p>
    <w:p w14:paraId="3120355A" w14:textId="58086974" w:rsidR="009A519B" w:rsidRPr="00B74B91" w:rsidRDefault="009A519B" w:rsidP="00B74B91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If the only option listed at the bottom of the screen is Override Parent Permissions, then DO NOT CLICK THAT BUTTON. </w:t>
      </w:r>
      <w:r>
        <w:rPr>
          <w:sz w:val="18"/>
          <w:szCs w:val="18"/>
        </w:rPr>
        <w:t>Instead, look for the Parent Policy at the top of the page. Edit Permissions on the Parent Policy and add your security group there instead.</w:t>
      </w:r>
    </w:p>
    <w:p w14:paraId="193BEE88" w14:textId="77777777" w:rsidR="00B74B91" w:rsidRPr="00B74B91" w:rsidRDefault="00B74B91" w:rsidP="00B74B91">
      <w:pPr>
        <w:rPr>
          <w:sz w:val="18"/>
          <w:szCs w:val="18"/>
        </w:rPr>
      </w:pPr>
    </w:p>
    <w:p w14:paraId="51A335E3" w14:textId="244D22C7" w:rsidR="00552EF3" w:rsidRDefault="009A519B" w:rsidP="00552EF3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F8C9F34" wp14:editId="136EFF84">
            <wp:extent cx="6743700" cy="1755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EC22" w14:textId="1BDEA4E7" w:rsidR="009A519B" w:rsidRDefault="009A519B" w:rsidP="00552EF3">
      <w:pPr>
        <w:rPr>
          <w:sz w:val="18"/>
          <w:szCs w:val="18"/>
        </w:rPr>
      </w:pPr>
    </w:p>
    <w:p w14:paraId="4768EF82" w14:textId="2F43E746" w:rsidR="009A519B" w:rsidRDefault="009A519B" w:rsidP="00552EF3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2150776" wp14:editId="0F059CD8">
            <wp:extent cx="6743700" cy="9709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3169" w14:textId="77777777" w:rsidR="009A519B" w:rsidRDefault="009A519B" w:rsidP="00552EF3">
      <w:pPr>
        <w:rPr>
          <w:sz w:val="18"/>
          <w:szCs w:val="18"/>
        </w:rPr>
      </w:pPr>
    </w:p>
    <w:p w14:paraId="7E2B4446" w14:textId="00F74D3C" w:rsidR="009A519B" w:rsidRDefault="009A519B" w:rsidP="00552EF3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A5AA15C" wp14:editId="3BD681F2">
            <wp:extent cx="6743700" cy="13995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33A9" w14:textId="317FAC59" w:rsidR="00552EF3" w:rsidRDefault="00552EF3" w:rsidP="00552EF3">
      <w:pPr>
        <w:rPr>
          <w:sz w:val="18"/>
          <w:szCs w:val="18"/>
        </w:rPr>
      </w:pPr>
    </w:p>
    <w:p w14:paraId="0A03994B" w14:textId="471C863F" w:rsidR="00F71982" w:rsidRDefault="00F71982" w:rsidP="00552EF3">
      <w:pPr>
        <w:rPr>
          <w:sz w:val="18"/>
          <w:szCs w:val="18"/>
        </w:rPr>
      </w:pPr>
    </w:p>
    <w:p w14:paraId="2C56FAFA" w14:textId="1FE7055D" w:rsidR="00F71982" w:rsidRDefault="00F71982" w:rsidP="00552EF3">
      <w:pPr>
        <w:rPr>
          <w:sz w:val="18"/>
          <w:szCs w:val="18"/>
        </w:rPr>
      </w:pPr>
    </w:p>
    <w:p w14:paraId="7CC591A1" w14:textId="4270CD51" w:rsidR="00F71982" w:rsidRDefault="00F71982" w:rsidP="00552EF3">
      <w:pPr>
        <w:rPr>
          <w:sz w:val="18"/>
          <w:szCs w:val="18"/>
        </w:rPr>
      </w:pPr>
    </w:p>
    <w:p w14:paraId="7C8171C4" w14:textId="0CF66823" w:rsidR="00F71982" w:rsidRDefault="00F71982" w:rsidP="00552EF3">
      <w:pPr>
        <w:rPr>
          <w:sz w:val="18"/>
          <w:szCs w:val="18"/>
        </w:rPr>
      </w:pPr>
    </w:p>
    <w:p w14:paraId="6405CAF9" w14:textId="4D489E81" w:rsidR="00F71982" w:rsidRDefault="00F71982" w:rsidP="00552EF3">
      <w:pPr>
        <w:rPr>
          <w:sz w:val="18"/>
          <w:szCs w:val="18"/>
        </w:rPr>
      </w:pPr>
    </w:p>
    <w:p w14:paraId="75F591DA" w14:textId="68E953FA" w:rsidR="00F71982" w:rsidRDefault="00F71982" w:rsidP="00552EF3">
      <w:pPr>
        <w:rPr>
          <w:sz w:val="18"/>
          <w:szCs w:val="18"/>
        </w:rPr>
      </w:pPr>
    </w:p>
    <w:p w14:paraId="7F6C43CF" w14:textId="77777777" w:rsidR="00DC0F69" w:rsidRPr="005F66B7" w:rsidRDefault="00DC0F69" w:rsidP="004A1367"/>
    <w:sectPr w:rsidR="00DC0F69" w:rsidRPr="005F66B7" w:rsidSect="00231CD2">
      <w:headerReference w:type="default" r:id="rId12"/>
      <w:footerReference w:type="default" r:id="rId13"/>
      <w:pgSz w:w="12240" w:h="15840"/>
      <w:pgMar w:top="1152" w:right="720" w:bottom="189" w:left="900" w:header="720" w:footer="1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06284" w14:textId="77777777" w:rsidR="000C45C2" w:rsidRDefault="000C45C2" w:rsidP="00EE7009">
      <w:r>
        <w:separator/>
      </w:r>
    </w:p>
  </w:endnote>
  <w:endnote w:type="continuationSeparator" w:id="0">
    <w:p w14:paraId="3B13F60C" w14:textId="77777777" w:rsidR="000C45C2" w:rsidRDefault="000C45C2" w:rsidP="00EE7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4F0D" w14:textId="77777777" w:rsidR="00EE7009" w:rsidRDefault="00B341DC" w:rsidP="00B341DC">
    <w:pPr>
      <w:pStyle w:val="Footer"/>
      <w:jc w:val="right"/>
    </w:pPr>
    <w:r>
      <w:rPr>
        <w:noProof/>
        <w:sz w:val="20"/>
      </w:rPr>
      <w:drawing>
        <wp:inline distT="0" distB="0" distL="0" distR="0" wp14:anchorId="496622C7" wp14:editId="6E5109CD">
          <wp:extent cx="1984694" cy="913130"/>
          <wp:effectExtent l="0" t="0" r="0" b="127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lack Invisors Delivering Logo JPEG 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71" t="32467" r="10993" b="31445"/>
                  <a:stretch/>
                </pic:blipFill>
                <pic:spPr bwMode="auto">
                  <a:xfrm>
                    <a:off x="0" y="0"/>
                    <a:ext cx="1987454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10D772C" w14:textId="77777777" w:rsidR="00EE7009" w:rsidRDefault="00EE7009" w:rsidP="00EE700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AA30A" w14:textId="77777777" w:rsidR="000C45C2" w:rsidRDefault="000C45C2" w:rsidP="00EE7009">
      <w:r>
        <w:separator/>
      </w:r>
    </w:p>
  </w:footnote>
  <w:footnote w:type="continuationSeparator" w:id="0">
    <w:p w14:paraId="55FBB6C5" w14:textId="77777777" w:rsidR="000C45C2" w:rsidRDefault="000C45C2" w:rsidP="00EE7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7624D" w14:textId="77777777" w:rsidR="00EE7009" w:rsidRDefault="00EE7009" w:rsidP="003D042D">
    <w:pPr>
      <w:pStyle w:val="Header"/>
    </w:pPr>
  </w:p>
  <w:p w14:paraId="54030621" w14:textId="77777777" w:rsidR="00EE7009" w:rsidRDefault="00EE70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7DE"/>
    <w:multiLevelType w:val="hybridMultilevel"/>
    <w:tmpl w:val="72E6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139F"/>
    <w:multiLevelType w:val="hybridMultilevel"/>
    <w:tmpl w:val="898077A4"/>
    <w:lvl w:ilvl="0" w:tplc="6AAC9FF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E705A"/>
    <w:multiLevelType w:val="hybridMultilevel"/>
    <w:tmpl w:val="E42293A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341E2"/>
    <w:multiLevelType w:val="hybridMultilevel"/>
    <w:tmpl w:val="87BA5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12C43"/>
    <w:multiLevelType w:val="hybridMultilevel"/>
    <w:tmpl w:val="C6B82A0C"/>
    <w:lvl w:ilvl="0" w:tplc="58B443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36127"/>
    <w:multiLevelType w:val="hybridMultilevel"/>
    <w:tmpl w:val="ADCC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15550"/>
    <w:multiLevelType w:val="hybridMultilevel"/>
    <w:tmpl w:val="6124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53604"/>
    <w:multiLevelType w:val="hybridMultilevel"/>
    <w:tmpl w:val="D50CC096"/>
    <w:lvl w:ilvl="0" w:tplc="6AAC9FF2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275CC6"/>
    <w:multiLevelType w:val="hybridMultilevel"/>
    <w:tmpl w:val="AB2C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A67A9"/>
    <w:multiLevelType w:val="hybridMultilevel"/>
    <w:tmpl w:val="3806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21A5C"/>
    <w:multiLevelType w:val="hybridMultilevel"/>
    <w:tmpl w:val="ADFE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2E87"/>
    <w:multiLevelType w:val="hybridMultilevel"/>
    <w:tmpl w:val="5290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55C0A"/>
    <w:multiLevelType w:val="hybridMultilevel"/>
    <w:tmpl w:val="78D64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F6DCA"/>
    <w:multiLevelType w:val="hybridMultilevel"/>
    <w:tmpl w:val="4B4C3B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10AD4"/>
    <w:multiLevelType w:val="hybridMultilevel"/>
    <w:tmpl w:val="D736B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5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14"/>
  </w:num>
  <w:num w:numId="10">
    <w:abstractNumId w:val="0"/>
  </w:num>
  <w:num w:numId="11">
    <w:abstractNumId w:val="10"/>
  </w:num>
  <w:num w:numId="12">
    <w:abstractNumId w:val="2"/>
  </w:num>
  <w:num w:numId="13">
    <w:abstractNumId w:val="1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45"/>
    <w:rsid w:val="00006CBE"/>
    <w:rsid w:val="00013DF8"/>
    <w:rsid w:val="00014738"/>
    <w:rsid w:val="00015EEB"/>
    <w:rsid w:val="00020932"/>
    <w:rsid w:val="00026D14"/>
    <w:rsid w:val="00035CAF"/>
    <w:rsid w:val="00040AF1"/>
    <w:rsid w:val="00046207"/>
    <w:rsid w:val="00060D1B"/>
    <w:rsid w:val="00070413"/>
    <w:rsid w:val="00071B90"/>
    <w:rsid w:val="00073150"/>
    <w:rsid w:val="00086600"/>
    <w:rsid w:val="00094721"/>
    <w:rsid w:val="00094B43"/>
    <w:rsid w:val="000C0402"/>
    <w:rsid w:val="000C2DED"/>
    <w:rsid w:val="000C45C2"/>
    <w:rsid w:val="000D5401"/>
    <w:rsid w:val="000E1B22"/>
    <w:rsid w:val="000E3B26"/>
    <w:rsid w:val="000E47EB"/>
    <w:rsid w:val="0010333F"/>
    <w:rsid w:val="00107296"/>
    <w:rsid w:val="001151E1"/>
    <w:rsid w:val="00124874"/>
    <w:rsid w:val="001362E4"/>
    <w:rsid w:val="00154B3A"/>
    <w:rsid w:val="001652B8"/>
    <w:rsid w:val="00182E1E"/>
    <w:rsid w:val="00184A35"/>
    <w:rsid w:val="00194735"/>
    <w:rsid w:val="001A5AFE"/>
    <w:rsid w:val="001B5A19"/>
    <w:rsid w:val="001B7534"/>
    <w:rsid w:val="001C2A98"/>
    <w:rsid w:val="001D048B"/>
    <w:rsid w:val="001D7E44"/>
    <w:rsid w:val="001E0969"/>
    <w:rsid w:val="001E26C7"/>
    <w:rsid w:val="001F6B3A"/>
    <w:rsid w:val="00200B63"/>
    <w:rsid w:val="00210152"/>
    <w:rsid w:val="002133AA"/>
    <w:rsid w:val="00214475"/>
    <w:rsid w:val="00226738"/>
    <w:rsid w:val="0022683C"/>
    <w:rsid w:val="00231CD2"/>
    <w:rsid w:val="002562DE"/>
    <w:rsid w:val="00263B2C"/>
    <w:rsid w:val="00290BD5"/>
    <w:rsid w:val="00290D17"/>
    <w:rsid w:val="002C4283"/>
    <w:rsid w:val="002E585A"/>
    <w:rsid w:val="002F088E"/>
    <w:rsid w:val="002F4F46"/>
    <w:rsid w:val="00341CA5"/>
    <w:rsid w:val="00341F03"/>
    <w:rsid w:val="00375000"/>
    <w:rsid w:val="003A2A33"/>
    <w:rsid w:val="003B17EB"/>
    <w:rsid w:val="003D042D"/>
    <w:rsid w:val="003E31CD"/>
    <w:rsid w:val="003E3978"/>
    <w:rsid w:val="003E4945"/>
    <w:rsid w:val="003F0727"/>
    <w:rsid w:val="003F3308"/>
    <w:rsid w:val="003F63E4"/>
    <w:rsid w:val="004000C8"/>
    <w:rsid w:val="00407339"/>
    <w:rsid w:val="00422E74"/>
    <w:rsid w:val="0042389B"/>
    <w:rsid w:val="00432689"/>
    <w:rsid w:val="004342C8"/>
    <w:rsid w:val="00475347"/>
    <w:rsid w:val="004913DC"/>
    <w:rsid w:val="00493CE6"/>
    <w:rsid w:val="004A1367"/>
    <w:rsid w:val="004C60BD"/>
    <w:rsid w:val="004C6D5C"/>
    <w:rsid w:val="004D5E86"/>
    <w:rsid w:val="004E3932"/>
    <w:rsid w:val="004F6B06"/>
    <w:rsid w:val="0051081D"/>
    <w:rsid w:val="0053214A"/>
    <w:rsid w:val="00533AE1"/>
    <w:rsid w:val="00537747"/>
    <w:rsid w:val="005476FA"/>
    <w:rsid w:val="00552EF3"/>
    <w:rsid w:val="0056497A"/>
    <w:rsid w:val="00566CBE"/>
    <w:rsid w:val="00570C2E"/>
    <w:rsid w:val="0058366C"/>
    <w:rsid w:val="00583744"/>
    <w:rsid w:val="00593218"/>
    <w:rsid w:val="005970BD"/>
    <w:rsid w:val="005A1F8B"/>
    <w:rsid w:val="005A3497"/>
    <w:rsid w:val="005A5990"/>
    <w:rsid w:val="005B3EBA"/>
    <w:rsid w:val="005E4C93"/>
    <w:rsid w:val="005E6FBF"/>
    <w:rsid w:val="005F658A"/>
    <w:rsid w:val="005F66B7"/>
    <w:rsid w:val="00612F46"/>
    <w:rsid w:val="0062410B"/>
    <w:rsid w:val="0064254D"/>
    <w:rsid w:val="006432D9"/>
    <w:rsid w:val="00643D7E"/>
    <w:rsid w:val="00675C51"/>
    <w:rsid w:val="00695E03"/>
    <w:rsid w:val="006C68AB"/>
    <w:rsid w:val="006D11E7"/>
    <w:rsid w:val="006D4CDC"/>
    <w:rsid w:val="00731190"/>
    <w:rsid w:val="00742373"/>
    <w:rsid w:val="00747C30"/>
    <w:rsid w:val="00751C8D"/>
    <w:rsid w:val="00754487"/>
    <w:rsid w:val="00754B7B"/>
    <w:rsid w:val="007622DA"/>
    <w:rsid w:val="007801C8"/>
    <w:rsid w:val="0078527E"/>
    <w:rsid w:val="00786DF8"/>
    <w:rsid w:val="00792BE9"/>
    <w:rsid w:val="007974B6"/>
    <w:rsid w:val="007D0B3F"/>
    <w:rsid w:val="007D3722"/>
    <w:rsid w:val="007D48A2"/>
    <w:rsid w:val="008125D1"/>
    <w:rsid w:val="0084099C"/>
    <w:rsid w:val="00854168"/>
    <w:rsid w:val="00857BA2"/>
    <w:rsid w:val="00862C1E"/>
    <w:rsid w:val="00866145"/>
    <w:rsid w:val="00880AA5"/>
    <w:rsid w:val="00892428"/>
    <w:rsid w:val="008B3D50"/>
    <w:rsid w:val="008C0AE9"/>
    <w:rsid w:val="008C4072"/>
    <w:rsid w:val="008D4FEF"/>
    <w:rsid w:val="008D5220"/>
    <w:rsid w:val="00900DE5"/>
    <w:rsid w:val="0091253A"/>
    <w:rsid w:val="0091374F"/>
    <w:rsid w:val="00916579"/>
    <w:rsid w:val="009608A1"/>
    <w:rsid w:val="009A519B"/>
    <w:rsid w:val="009B680C"/>
    <w:rsid w:val="009C0EAE"/>
    <w:rsid w:val="009C23EA"/>
    <w:rsid w:val="009C5EC5"/>
    <w:rsid w:val="009D284A"/>
    <w:rsid w:val="009D330E"/>
    <w:rsid w:val="009F17B1"/>
    <w:rsid w:val="009F7CBF"/>
    <w:rsid w:val="00A01548"/>
    <w:rsid w:val="00A36ABC"/>
    <w:rsid w:val="00A37D77"/>
    <w:rsid w:val="00A42A7A"/>
    <w:rsid w:val="00A47EEF"/>
    <w:rsid w:val="00A541B1"/>
    <w:rsid w:val="00A55824"/>
    <w:rsid w:val="00A6094B"/>
    <w:rsid w:val="00A66C30"/>
    <w:rsid w:val="00A802BB"/>
    <w:rsid w:val="00A95CED"/>
    <w:rsid w:val="00AB4D78"/>
    <w:rsid w:val="00AB4F2D"/>
    <w:rsid w:val="00AE19D7"/>
    <w:rsid w:val="00AE2BE8"/>
    <w:rsid w:val="00AF445F"/>
    <w:rsid w:val="00AF5F5C"/>
    <w:rsid w:val="00B07568"/>
    <w:rsid w:val="00B21118"/>
    <w:rsid w:val="00B341DC"/>
    <w:rsid w:val="00B60B39"/>
    <w:rsid w:val="00B639A1"/>
    <w:rsid w:val="00B74B91"/>
    <w:rsid w:val="00B74F22"/>
    <w:rsid w:val="00B93288"/>
    <w:rsid w:val="00BC2D54"/>
    <w:rsid w:val="00BC4EE0"/>
    <w:rsid w:val="00BC58EE"/>
    <w:rsid w:val="00BD533E"/>
    <w:rsid w:val="00BE7674"/>
    <w:rsid w:val="00BF1999"/>
    <w:rsid w:val="00BF4162"/>
    <w:rsid w:val="00C12763"/>
    <w:rsid w:val="00C2156F"/>
    <w:rsid w:val="00C35A4D"/>
    <w:rsid w:val="00C64E75"/>
    <w:rsid w:val="00C81244"/>
    <w:rsid w:val="00C9253A"/>
    <w:rsid w:val="00CA1EA7"/>
    <w:rsid w:val="00CC3318"/>
    <w:rsid w:val="00CD6C69"/>
    <w:rsid w:val="00CE52A0"/>
    <w:rsid w:val="00CF5460"/>
    <w:rsid w:val="00D0433A"/>
    <w:rsid w:val="00D10B7A"/>
    <w:rsid w:val="00D17C81"/>
    <w:rsid w:val="00D31BBA"/>
    <w:rsid w:val="00D46BB5"/>
    <w:rsid w:val="00D5265D"/>
    <w:rsid w:val="00D64742"/>
    <w:rsid w:val="00D71551"/>
    <w:rsid w:val="00D766B9"/>
    <w:rsid w:val="00D76EB9"/>
    <w:rsid w:val="00D82997"/>
    <w:rsid w:val="00DA251A"/>
    <w:rsid w:val="00DA2E9F"/>
    <w:rsid w:val="00DB0F01"/>
    <w:rsid w:val="00DB69C5"/>
    <w:rsid w:val="00DC0F69"/>
    <w:rsid w:val="00DD4CFF"/>
    <w:rsid w:val="00DD5E36"/>
    <w:rsid w:val="00E077B3"/>
    <w:rsid w:val="00E32232"/>
    <w:rsid w:val="00E338D7"/>
    <w:rsid w:val="00E37E45"/>
    <w:rsid w:val="00E46199"/>
    <w:rsid w:val="00E66549"/>
    <w:rsid w:val="00E67534"/>
    <w:rsid w:val="00E728B1"/>
    <w:rsid w:val="00E836C2"/>
    <w:rsid w:val="00E96AD8"/>
    <w:rsid w:val="00EB20B7"/>
    <w:rsid w:val="00EB6A52"/>
    <w:rsid w:val="00ED0889"/>
    <w:rsid w:val="00ED2295"/>
    <w:rsid w:val="00EE6430"/>
    <w:rsid w:val="00EE7009"/>
    <w:rsid w:val="00F01B90"/>
    <w:rsid w:val="00F02D65"/>
    <w:rsid w:val="00F14C1E"/>
    <w:rsid w:val="00F25EE2"/>
    <w:rsid w:val="00F42ACB"/>
    <w:rsid w:val="00F4374F"/>
    <w:rsid w:val="00F53D2D"/>
    <w:rsid w:val="00F56A2F"/>
    <w:rsid w:val="00F66D58"/>
    <w:rsid w:val="00F67343"/>
    <w:rsid w:val="00F71982"/>
    <w:rsid w:val="00FA2BEB"/>
    <w:rsid w:val="00FC0BD8"/>
    <w:rsid w:val="00FC1E0A"/>
    <w:rsid w:val="00FC2368"/>
    <w:rsid w:val="00FD72D3"/>
    <w:rsid w:val="00FE1820"/>
    <w:rsid w:val="00FE2703"/>
    <w:rsid w:val="00FE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AB91A"/>
  <w14:defaultImageDpi w14:val="32767"/>
  <w15:chartTrackingRefBased/>
  <w15:docId w15:val="{541CE0C5-9237-426A-A6A2-86B614C8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C0F6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rsid w:val="007311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1DC"/>
    <w:pPr>
      <w:keepNext/>
      <w:keepLines/>
      <w:spacing w:before="40"/>
      <w:ind w:right="54"/>
      <w:outlineLvl w:val="1"/>
    </w:pPr>
    <w:rPr>
      <w:rFonts w:eastAsiaTheme="majorEastAsia" w:cstheme="minorHAns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41DC"/>
    <w:pPr>
      <w:spacing w:before="240"/>
      <w:contextualSpacing/>
    </w:pPr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1DC"/>
    <w:rPr>
      <w:rFonts w:eastAsiaTheme="majorEastAsia" w:cstheme="min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0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0B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5B3E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EB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1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41DC"/>
    <w:rPr>
      <w:rFonts w:eastAsiaTheme="majorEastAsia" w:cstheme="minorHAnsi"/>
      <w:b/>
      <w:color w:val="000000" w:themeColor="text1"/>
      <w:sz w:val="22"/>
      <w:szCs w:val="26"/>
    </w:rPr>
  </w:style>
  <w:style w:type="character" w:styleId="SubtleEmphasis">
    <w:name w:val="Subtle Emphasis"/>
    <w:basedOn w:val="DefaultParagraphFont"/>
    <w:uiPriority w:val="19"/>
    <w:qFormat/>
    <w:rsid w:val="00B341DC"/>
    <w:rPr>
      <w:rFonts w:cstheme="minorHAnsi"/>
      <w:i/>
      <w:iCs/>
      <w:color w:val="595959" w:themeColor="text1" w:themeTint="A6"/>
      <w:sz w:val="18"/>
    </w:rPr>
  </w:style>
  <w:style w:type="character" w:styleId="Strong">
    <w:name w:val="Strong"/>
    <w:basedOn w:val="DefaultParagraphFont"/>
    <w:uiPriority w:val="22"/>
    <w:qFormat/>
    <w:rsid w:val="00B341DC"/>
    <w:rPr>
      <w:rFonts w:cstheme="minorHAnsi"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EE70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009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EE70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009"/>
    <w:rPr>
      <w:sz w:val="22"/>
    </w:rPr>
  </w:style>
  <w:style w:type="paragraph" w:styleId="NoSpacing">
    <w:name w:val="No Spacing"/>
    <w:uiPriority w:val="1"/>
    <w:qFormat/>
    <w:rsid w:val="00EE7009"/>
    <w:rPr>
      <w:rFonts w:eastAsiaTheme="minorEastAsia"/>
      <w:sz w:val="22"/>
      <w:szCs w:val="22"/>
      <w:lang w:eastAsia="zh-CN"/>
    </w:rPr>
  </w:style>
  <w:style w:type="character" w:styleId="UnresolvedMention">
    <w:name w:val="Unresolved Mention"/>
    <w:basedOn w:val="DefaultParagraphFont"/>
    <w:uiPriority w:val="99"/>
    <w:rsid w:val="00B74F2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F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F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i\Documents\Invisors%20Internal\Invisors%20Master%20Template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DE4508-7B0C-4D90-BBBC-6866F58F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Invisors Master Template 2018.dotx</Template>
  <TotalTime>1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Lemons, Mitchell</cp:lastModifiedBy>
  <cp:revision>2</cp:revision>
  <cp:lastPrinted>2017-10-17T19:18:00Z</cp:lastPrinted>
  <dcterms:created xsi:type="dcterms:W3CDTF">2022-10-06T15:46:00Z</dcterms:created>
  <dcterms:modified xsi:type="dcterms:W3CDTF">2022-10-06T15:46:00Z</dcterms:modified>
</cp:coreProperties>
</file>