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Case Study 2</w:t>
      </w:r>
    </w:p>
    <w:p>
      <w:pPr>
        <w:spacing w:after="400"/>
        <w:jc w:val="center"/>
      </w:pPr>
      <w:r>
        <w:rPr>
          <w:b/>
          <w:bCs/>
          <w:sz w:val="40"/>
          <w:szCs w:val="40"/>
        </w:rPr>
        <w:t xml:space="preserve">Exposé</w:t>
      </w:r>
    </w:p>
    <w:p>
      <w:pPr>
        <w:pStyle w:val="Heading1"/>
        <w:spacing w:after="160" w:before="240"/>
      </w:pPr>
      <w:r>
        <w:rPr>
          <w:b/>
          <w:bCs/>
        </w:rPr>
        <w:t xml:space="preserve">1. Working Title</w:t>
      </w:r>
    </w:p>
    <w:p>
      <w:pPr>
        <w:spacing w:after="200" w:line="300"/>
      </w:pPr>
      <w:r>
        <w:rPr>
          <w:b/>
          <w:bCs/>
          <w:i/>
          <w:iCs/>
        </w:rPr>
        <w:t xml:space="preserve">“Benchmarking Large Language Models for Knowledge Graph Construction from Materials Science Literature”</w:t>
      </w:r>
    </w:p>
    <w:p>
      <w:pPr>
        <w:pStyle w:val="Heading1"/>
        <w:spacing w:after="160" w:before="240"/>
      </w:pPr>
      <w:r>
        <w:rPr>
          <w:b/>
          <w:bCs/>
        </w:rPr>
        <w:t xml:space="preserve">2. Introduction &amp; Relevance</w:t>
      </w:r>
    </w:p>
    <w:p>
      <w:pPr>
        <w:spacing w:after="120" w:line="300"/>
      </w:pPr>
      <w:r>
        <w:t xml:space="preserve">The discovery of novel materials underpins progress in clean energy, electronics, catalysis, and healthcare. The vast majority of empirical knowledge about how materials are synthesised and which properties they exhibit, however, is locked away in unstructured scientific publications. Manual curation cannot keep pace with the literature: PubMed, arXiv (cond-mat), and ChemRxiv together publish tens of thousands of materials-related articles every year.</w:t>
      </w:r>
    </w:p>
    <w:p>
      <w:pPr>
        <w:spacing w:after="120" w:line="300"/>
      </w:pPr>
      <w:r>
        <w:t xml:space="preserve">Recent advances in Large Language Models (LLMs) and Knowledge Graphs (KGs) offer a path to convert this textual knowledge into a structured, queryable form. LLMs can parse heterogeneous scientific prose with minimal task-specific training, while KGs provide a precise, explainable representation suitable for downstream reasoning, search, and machine-learning pipelines.</w:t>
      </w:r>
    </w:p>
    <w:p>
      <w:pPr>
        <w:spacing w:after="120" w:line="300"/>
      </w:pPr>
      <w:r>
        <w:t xml:space="preserve">This project develops an end-to-end pipeline that uses LLMs to extract Material–Synthesis–Property–Application relations from materials science publications, stores them in a Neo4j knowledge graph, and rigorously benchmarks LLM-based extraction against established domain-specific baselines (ChemDataExtractor and MatSciBERT). The outcome is both a methodological contribution — a reproducible evaluation framework for LLM-based scientific extraction — and a practical artefact: an interactively queryable materials KG with full provenance back to the source literature.</w:t>
      </w:r>
    </w:p>
    <w:p>
      <w:pPr>
        <w:pStyle w:val="Heading1"/>
        <w:spacing w:after="160" w:before="240"/>
      </w:pPr>
      <w:r>
        <w:rPr>
          <w:b/>
          <w:bCs/>
        </w:rPr>
        <w:t xml:space="preserve">3. Research Question &amp; Objectives</w:t>
      </w:r>
    </w:p>
    <w:p>
      <w:pPr>
        <w:pStyle w:val="Heading3"/>
        <w:spacing w:after="160" w:before="240"/>
      </w:pPr>
      <w:r>
        <w:rPr>
          <w:b/>
          <w:bCs/>
        </w:rPr>
        <w:t xml:space="preserve">Main Question:</w:t>
      </w:r>
    </w:p>
    <w:p>
      <w:pPr>
        <w:pStyle w:val="ListParagraph"/>
        <w:numPr>
          <w:ilvl w:val="0"/>
          <w:numId w:val="2"/>
        </w:numPr>
        <w:spacing w:after="80" w:line="300"/>
      </w:pPr>
      <w:r>
        <w:t xml:space="preserve">How accurately can general-purpose Large Language Models extract Material–Synthesis–Property triples from materials science literature, compared to specialised domain-specific NER and relation-extraction baselines?</w:t>
      </w:r>
    </w:p>
    <w:p>
      <w:pPr>
        <w:pStyle w:val="Heading3"/>
        <w:spacing w:after="160" w:before="240"/>
      </w:pPr>
      <w:r>
        <w:rPr>
          <w:b/>
          <w:bCs/>
        </w:rPr>
        <w:t xml:space="preserve">Sub-questions:</w:t>
      </w:r>
    </w:p>
    <w:p>
      <w:pPr>
        <w:pStyle w:val="ListParagraph"/>
        <w:numPr>
          <w:ilvl w:val="0"/>
          <w:numId w:val="3"/>
        </w:numPr>
        <w:spacing w:after="80" w:line="300"/>
      </w:pPr>
      <w:r>
        <w:t xml:space="preserve">Which prompting strategies (zero-shot, few-shot, schema-guided, chain-of-thought) yield the most reliable triples?</w:t>
      </w:r>
    </w:p>
    <w:p>
      <w:pPr>
        <w:pStyle w:val="ListParagraph"/>
        <w:numPr>
          <w:ilvl w:val="0"/>
          <w:numId w:val="3"/>
        </w:numPr>
        <w:spacing w:after="80" w:line="300"/>
      </w:pPr>
      <w:r>
        <w:t xml:space="preserve">How does extraction quality vary across paper sections (abstract vs. methods vs. results) and across relation types?</w:t>
      </w:r>
    </w:p>
    <w:p>
      <w:pPr>
        <w:pStyle w:val="ListParagraph"/>
        <w:numPr>
          <w:ilvl w:val="0"/>
          <w:numId w:val="3"/>
        </w:numPr>
        <w:spacing w:after="80" w:line="300"/>
      </w:pPr>
      <w:r>
        <w:t xml:space="preserve">How do open-source LLMs (Llama-3) compare to commercial APIs (GPT-4o, Claude) on accuracy, cost, and latency?</w:t>
      </w:r>
    </w:p>
    <w:p>
      <w:pPr>
        <w:pStyle w:val="ListParagraph"/>
        <w:numPr>
          <w:ilvl w:val="0"/>
          <w:numId w:val="3"/>
        </w:numPr>
        <w:spacing w:after="80" w:line="300"/>
      </w:pPr>
      <w:r>
        <w:t xml:space="preserve">Can the resulting KG support useful downstream queries that aggregate evidence across hundreds of papers?</w:t>
      </w:r>
    </w:p>
    <w:p>
      <w:pPr>
        <w:pStyle w:val="Heading3"/>
        <w:spacing w:after="160" w:before="240"/>
      </w:pPr>
      <w:r>
        <w:rPr>
          <w:b/>
          <w:bCs/>
        </w:rPr>
        <w:t xml:space="preserve">Objectives:</w:t>
      </w:r>
    </w:p>
    <w:p>
      <w:pPr>
        <w:pStyle w:val="ListParagraph"/>
        <w:numPr>
          <w:ilvl w:val="0"/>
          <w:numId w:val="2"/>
        </w:numPr>
        <w:spacing w:after="80" w:line="300"/>
      </w:pPr>
      <w:r>
        <w:t xml:space="preserve">Define a materials-domain ontology and assemble a corpus of 500–1,000 open-access publications.</w:t>
      </w:r>
    </w:p>
    <w:p>
      <w:pPr>
        <w:pStyle w:val="ListParagraph"/>
        <w:numPr>
          <w:ilvl w:val="0"/>
          <w:numId w:val="2"/>
        </w:numPr>
        <w:spacing w:after="80" w:line="300"/>
      </w:pPr>
      <w:r>
        <w:t xml:space="preserve">Implement a unified extraction interface supporting multiple LLM and baseline strategies.</w:t>
      </w:r>
    </w:p>
    <w:p>
      <w:pPr>
        <w:pStyle w:val="ListParagraph"/>
        <w:numPr>
          <w:ilvl w:val="0"/>
          <w:numId w:val="2"/>
        </w:numPr>
        <w:spacing w:after="80" w:line="300"/>
      </w:pPr>
      <w:r>
        <w:t xml:space="preserve">Hand-annotate a gold-standard evaluation set (~200 sentences) and compute precision, recall, F1 per extractor and per relation type.</w:t>
      </w:r>
    </w:p>
    <w:p>
      <w:pPr>
        <w:pStyle w:val="ListParagraph"/>
        <w:numPr>
          <w:ilvl w:val="0"/>
          <w:numId w:val="2"/>
        </w:numPr>
        <w:spacing w:after="80" w:line="300"/>
      </w:pPr>
      <w:r>
        <w:t xml:space="preserve">Construct a Neo4j knowledge graph with entity resolution and explicit provenance.</w:t>
      </w:r>
    </w:p>
    <w:p>
      <w:pPr>
        <w:pStyle w:val="ListParagraph"/>
        <w:numPr>
          <w:ilvl w:val="0"/>
          <w:numId w:val="2"/>
        </w:numPr>
        <w:spacing w:after="80" w:line="300"/>
      </w:pPr>
      <w:r>
        <w:t xml:space="preserve">Build a Streamlit dashboard supporting natural-language-to-Cypher querying and source traceability.</w:t>
      </w:r>
    </w:p>
    <w:p>
      <w:pPr>
        <w:pStyle w:val="Heading1"/>
        <w:spacing w:after="160" w:before="240"/>
      </w:pPr>
      <w:r>
        <w:rPr>
          <w:b/>
          <w:bCs/>
        </w:rPr>
        <w:t xml:space="preserve">4. State of the Art</w:t>
      </w:r>
    </w:p>
    <w:p>
      <w:pPr>
        <w:spacing w:after="120" w:line="300"/>
      </w:pPr>
      <w:r>
        <w:t xml:space="preserve">Information extraction from scientific text has matured rapidly. Key strands of prior work directly relevant to this project include:</w:t>
      </w:r>
    </w:p>
    <w:p>
      <w:pPr>
        <w:pStyle w:val="ListParagraph"/>
        <w:numPr>
          <w:ilvl w:val="0"/>
          <w:numId w:val="2"/>
        </w:numPr>
        <w:spacing w:after="80" w:line="300"/>
      </w:pPr>
      <w:r>
        <w:rPr>
          <w:b/>
          <w:bCs/>
        </w:rPr>
        <w:t xml:space="preserve">Domain-specific language models: </w:t>
      </w:r>
      <w:r>
        <w:t xml:space="preserve">Early materials NER (Weston et al., 2019) established the feasibility of automated entity extraction from materials abstracts using domain-trained word embeddings; subsequent transformer-based models — MatSciBERT (Gupta et al., 2022) and the domain pre-training analysis of Trewartha et al. (2022) — demonstrated that domain pre-training yields substantial gains over general BERT for materials entity recognition, though they require labelled training data and remain limited to entity-level tasks.</w:t>
      </w:r>
    </w:p>
    <w:p>
      <w:pPr>
        <w:pStyle w:val="ListParagraph"/>
        <w:numPr>
          <w:ilvl w:val="0"/>
          <w:numId w:val="2"/>
        </w:numPr>
        <w:spacing w:after="80" w:line="300"/>
      </w:pPr>
      <w:r>
        <w:rPr>
          <w:b/>
          <w:bCs/>
        </w:rPr>
        <w:t xml:space="preserve">Rule-based chemical extraction: </w:t>
      </w:r>
      <w:r>
        <w:t xml:space="preserve">ChemDataExtractor (Swain &amp; Cole, 2016) provides high-precision, schema-driven extraction of chemical entities and properties; it is a strong but rigid baseline for a controlled relation set.</w:t>
      </w:r>
    </w:p>
    <w:p>
      <w:pPr>
        <w:pStyle w:val="ListParagraph"/>
        <w:numPr>
          <w:ilvl w:val="0"/>
          <w:numId w:val="2"/>
        </w:numPr>
        <w:spacing w:after="80" w:line="300"/>
      </w:pPr>
      <w:r>
        <w:rPr>
          <w:b/>
          <w:bCs/>
        </w:rPr>
        <w:t xml:space="preserve">LLMs for scientific extraction: </w:t>
      </w:r>
      <w:r>
        <w:t xml:space="preserve">Dagdelen et al. (2024) showed that fine-tuned LLMs can extract structured records from complex scientific text in a unified schema, providing the methodological template for LLM-based scientific IE. Polak &amp; Morgan (2024) and Zheng et al. (2023) demonstrated that conversational LLMs with prompt engineering can reach or exceed task-specific baselines for materials and MOF synthesis extraction; Wei et al. (2023) framed zero-shot extraction with ChatGPT more broadly.</w:t>
      </w:r>
    </w:p>
    <w:p>
      <w:pPr>
        <w:pStyle w:val="ListParagraph"/>
        <w:numPr>
          <w:ilvl w:val="0"/>
          <w:numId w:val="2"/>
        </w:numPr>
        <w:spacing w:after="80" w:line="300"/>
      </w:pPr>
      <w:r>
        <w:rPr>
          <w:b/>
          <w:bCs/>
        </w:rPr>
        <w:t xml:space="preserve">LLMs and Knowledge Graphs: </w:t>
      </w:r>
      <w:r>
        <w:t xml:space="preserve">Pan et al. (2024) provide a comprehensive roadmap unifying LLMs and KGs. GraphRAG (Edge et al., 2024) and earlier RAG work (Lewis et al., 2020) show how grounding LLMs on graph-structured evidence improves factuality and supports global reasoning queries.</w:t>
      </w:r>
    </w:p>
    <w:p>
      <w:pPr>
        <w:pStyle w:val="ListParagraph"/>
        <w:numPr>
          <w:ilvl w:val="0"/>
          <w:numId w:val="2"/>
        </w:numPr>
        <w:spacing w:after="80" w:line="300"/>
      </w:pPr>
      <w:r>
        <w:rPr>
          <w:b/>
          <w:bCs/>
        </w:rPr>
        <w:t xml:space="preserve">Materials-domain LLM evaluation: </w:t>
      </w:r>
      <w:r>
        <w:t xml:space="preserve">MaScQA (Zaki et al., 2024) benchmarks LLM materials-science knowledge but focuses on question answering rather than relation extraction into a structured graph.</w:t>
      </w:r>
    </w:p>
    <w:p>
      <w:pPr>
        <w:pStyle w:val="ListParagraph"/>
        <w:numPr>
          <w:ilvl w:val="0"/>
          <w:numId w:val="2"/>
        </w:numPr>
        <w:spacing w:after="80" w:line="300"/>
      </w:pPr>
      <w:r>
        <w:rPr>
          <w:b/>
          <w:bCs/>
        </w:rPr>
        <w:t xml:space="preserve">Tooling: </w:t>
      </w:r>
      <w:r>
        <w:t xml:space="preserve">spaCy (Honnibal et al., 2020) and modern orchestration frameworks (LangChain, LlamaIndex) provide the engineering substrate for building reproducible extraction pipelines.</w:t>
      </w:r>
    </w:p>
    <w:p>
      <w:pPr>
        <w:spacing w:after="120" w:line="300"/>
      </w:pPr>
      <w:r>
        <w:rPr>
          <w:b/>
          <w:bCs/>
          <w:i/>
          <w:iCs/>
        </w:rPr>
        <w:t xml:space="preserve">Gap: </w:t>
      </w:r>
      <w:r>
        <w:rPr>
          <w:i/>
          <w:iCs/>
        </w:rPr>
        <w:t xml:space="preserve">Existing work either evaluates LLMs on isolated extraction tasks without building an integrated, provenance-aware knowledge graph, or constructs scientific KGs using primarily rule-based or BERT-based pipelines without a head-to-head comparison against modern LLMs across multiple prompting strategies. This project closes that gap by delivering a unified, reproducible benchmark and a deployable end-to-end pipeline for the materials-science domain.</w:t>
      </w:r>
    </w:p>
    <w:p>
      <w:pPr>
        <w:pStyle w:val="Heading1"/>
        <w:spacing w:after="160" w:before="240"/>
      </w:pPr>
      <w:r>
        <w:rPr>
          <w:b/>
          <w:bCs/>
        </w:rPr>
        <w:t xml:space="preserve">5.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BFBFBF" w:sz="4"/>
              <w:left w:val="single" w:color="BFBFBF" w:sz="4"/>
              <w:bottom w:val="single" w:color="BFBFBF" w:sz="4"/>
              <w:right w:val="single" w:color="BFBFBF" w:sz="4"/>
            </w:tcBorders>
            <w:shd w:fill="E7EEF7" w:val="clear"/>
            <w:tcMar>
              <w:top w:type="dxa" w:w="120"/>
              <w:left w:type="dxa" w:w="140"/>
              <w:bottom w:type="dxa" w:w="120"/>
              <w:right w:type="dxa" w:w="140"/>
            </w:tcMar>
          </w:tcPr>
          <w:p>
            <w:r>
              <w:rPr>
                <w:b/>
                <w:bCs/>
              </w:rPr>
              <w:t xml:space="preserve">Phase</w:t>
            </w:r>
          </w:p>
        </w:tc>
        <w:tc>
          <w:tcPr>
            <w:tcW w:type="dxa" w:w="3680"/>
            <w:tcBorders>
              <w:top w:val="single" w:color="BFBFBF" w:sz="4"/>
              <w:left w:val="single" w:color="BFBFBF" w:sz="4"/>
              <w:bottom w:val="single" w:color="BFBFBF" w:sz="4"/>
              <w:right w:val="single" w:color="BFBFBF" w:sz="4"/>
            </w:tcBorders>
            <w:shd w:fill="E7EEF7" w:val="clear"/>
            <w:tcMar>
              <w:top w:type="dxa" w:w="120"/>
              <w:left w:type="dxa" w:w="140"/>
              <w:bottom w:type="dxa" w:w="120"/>
              <w:right w:type="dxa" w:w="140"/>
            </w:tcMar>
          </w:tcPr>
          <w:p>
            <w:r>
              <w:rPr>
                <w:b/>
                <w:bCs/>
              </w:rPr>
              <w:t xml:space="preserve">Method &amp; Tools</w:t>
            </w:r>
          </w:p>
        </w:tc>
        <w:tc>
          <w:tcPr>
            <w:tcW w:type="dxa" w:w="3280"/>
            <w:tcBorders>
              <w:top w:val="single" w:color="BFBFBF" w:sz="4"/>
              <w:left w:val="single" w:color="BFBFBF" w:sz="4"/>
              <w:bottom w:val="single" w:color="BFBFBF" w:sz="4"/>
              <w:right w:val="single" w:color="BFBFBF" w:sz="4"/>
            </w:tcBorders>
            <w:shd w:fill="E7EEF7" w:val="clear"/>
            <w:tcMar>
              <w:top w:type="dxa" w:w="120"/>
              <w:left w:type="dxa" w:w="140"/>
              <w:bottom w:type="dxa" w:w="120"/>
              <w:right w:type="dxa" w:w="140"/>
            </w:tcMar>
          </w:tcPr>
          <w:p>
            <w:r>
              <w:rPr>
                <w:b/>
                <w:bCs/>
              </w:rPr>
              <w:t xml:space="preserve">Sample &amp; Outputs</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1. Corpus Collection</w:t>
            </w:r>
          </w:p>
        </w:tc>
        <w:tc>
          <w:tcPr>
            <w:tcW w:type="dxa" w:w="3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Python; arXiv API, ChemRxiv, PubMed Central OA; GROBID / PyMuPDF for PDF parsing</w:t>
            </w:r>
          </w:p>
        </w:tc>
        <w:tc>
          <w:tcPr>
            <w:tcW w:type="dxa" w:w="32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500–1,000 open-access materials science papers; cleaned plain text + metadata</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2. Schema &amp; Annotation</w:t>
            </w:r>
          </w:p>
        </w:tc>
        <w:tc>
          <w:tcPr>
            <w:tcW w:type="dxa" w:w="3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JSON-Schema ontology (Material, Synthesis, Property, Application); manual gold-standard annotation in Label Studio</w:t>
            </w:r>
          </w:p>
        </w:tc>
        <w:tc>
          <w:tcPr>
            <w:tcW w:type="dxa" w:w="32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Ontology spec; ~200 hand-annotated sentences as evaluation gold standard</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3. Extraction Pipelines (LLM + Baselines)</w:t>
            </w:r>
          </w:p>
        </w:tc>
        <w:tc>
          <w:tcPr>
            <w:tcW w:type="dxa" w:w="3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LLM strand: LangChain/LlamaIndex with GPT-4o, Claude, Llama-3 (Ollama) under zero-shot, few-shot, schema-guided, and chain-of-thought prompting. Baseline strand: ChemDataExtractor 2.0, MatSciBERT fine-tuned for relation extraction, spaCy/scispaCy.</w:t>
            </w:r>
          </w:p>
        </w:tc>
        <w:tc>
          <w:tcPr>
            <w:tcW w:type="dxa" w:w="32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Unified Extractor interface producing (subject, relation, object, provenance, confidence) triples in identical schema across all approaches, enabling head-to-head comparison.</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4. Knowledge Graph Construction</w:t>
            </w:r>
          </w:p>
        </w:tc>
        <w:tc>
          <w:tcPr>
            <w:tcW w:type="dxa" w:w="3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Neo4j (Docker); embedding-based entity resolution (SBERT); Cypher schema with provenance edges</w:t>
            </w:r>
          </w:p>
        </w:tc>
        <w:tc>
          <w:tcPr>
            <w:tcW w:type="dxa" w:w="32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Populated KG (target: 10k+ entities, 50k+ relations) with full provenance</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5. Evaluation &amp; Dashboard</w:t>
            </w:r>
          </w:p>
        </w:tc>
        <w:tc>
          <w:tcPr>
            <w:tcW w:type="dxa" w:w="3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Precision / Recall / F1 vs. gold standard; cost &amp; latency analysis; Streamlit dashboard with NL→Cypher querying</w:t>
            </w:r>
          </w:p>
        </w:tc>
        <w:tc>
          <w:tcPr>
            <w:tcW w:type="dxa" w:w="32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Evaluation report; interactive dashboard with provenance back to source papers</w:t>
            </w:r>
          </w:p>
        </w:tc>
      </w:tr>
    </w:tbl>
    <w:p>
      <w:pPr>
        <w:spacing w:after="80" w:before="200"/>
      </w:pPr>
      <w:r>
        <w:t xml:space="preserve"/>
      </w:r>
    </w:p>
    <w:p>
      <w:pPr>
        <w:spacing w:after="120" w:line="300"/>
      </w:pPr>
      <w:r>
        <w:rPr>
          <w:b/>
          <w:bCs/>
        </w:rPr>
        <w:t xml:space="preserve">Ethics &amp; Reproducibility: </w:t>
      </w:r>
      <w:r>
        <w:t xml:space="preserve">Only open-access publications under permissive licences will be processed. All code, prompts, the ontology, and the evaluation gold standard will be released in a public Git repository. The full pipeline will be containerised with Docker for one-command reproducibility. LLM API calls will be cached and logged so that experiments can be replayed without re-incurring inference cost.</w:t>
      </w:r>
    </w:p>
    <w:p>
      <w:pPr>
        <w:pStyle w:val="Heading1"/>
        <w:spacing w:after="160" w:before="240"/>
      </w:pPr>
      <w:r>
        <w:rPr>
          <w:b/>
          <w:bCs/>
        </w:rPr>
        <w:t xml:space="preserve">6. Work Plan &amp; Timeline</w:t>
      </w:r>
    </w:p>
    <w:p>
      <w:pPr>
        <w:spacing w:after="120" w:line="300"/>
      </w:pPr>
      <w:r>
        <w:t xml:space="preserve">The project runs for 12 weeks (22 June 2026 – 15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E7EEF7" w:val="clear"/>
            <w:tcMar>
              <w:top w:type="dxa" w:w="120"/>
              <w:left w:type="dxa" w:w="140"/>
              <w:bottom w:type="dxa" w:w="120"/>
              <w:right w:type="dxa" w:w="140"/>
            </w:tcMar>
          </w:tcPr>
          <w:p>
            <w:r>
              <w:rPr>
                <w:b/>
                <w:bCs/>
              </w:rPr>
              <w:t xml:space="preserve">Week(s)</w:t>
            </w:r>
          </w:p>
        </w:tc>
        <w:tc>
          <w:tcPr>
            <w:tcW w:type="dxa" w:w="7960"/>
            <w:tcBorders>
              <w:top w:val="single" w:color="BFBFBF" w:sz="4"/>
              <w:left w:val="single" w:color="BFBFBF" w:sz="4"/>
              <w:bottom w:val="single" w:color="BFBFBF" w:sz="4"/>
              <w:right w:val="single" w:color="BFBFBF" w:sz="4"/>
            </w:tcBorders>
            <w:shd w:fill="E7EEF7" w:val="clear"/>
            <w:tcMar>
              <w:top w:type="dxa" w:w="120"/>
              <w:left w:type="dxa" w:w="140"/>
              <w:bottom w:type="dxa" w:w="120"/>
              <w:right w:type="dxa" w:w="140"/>
            </w:tcMar>
          </w:tcPr>
          <w:p>
            <w:r>
              <w:rPr>
                <w:b/>
                <w:bCs/>
              </w:rPr>
              <w:t xml:space="preserve">Task</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1–2</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Literature deep dive; finalise ontology; collect open-access corpus from arXiv/ChemRxiv/PMC</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3</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PDF parsing pipeline; cleaned dataset; exploratory data analysis on entity coverage</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4–5</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Implement LLM extraction pipelines (zero-shot, few-shot, schema-guided, CoT); implement baselines (ChemDataExtractor, MatSciBERT)</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6</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Hand-annotate ~200-sentence gold standard; finalise evaluation protocol</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7</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Set up Neo4j; build KG ingestion; implement entity resolution and deduplication</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8</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Run all extractors at scale; populate full KG; compute evaluation metrics</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9</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Error analysis and interpretability; cost/latency comparison; ablation studies</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10</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Build Streamlit dashboard with NL→Cypher querying and provenance views</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11</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End-to-end reproducibility (Docker); supervisor feedback round; bug fixes and polish</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12</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Finalise report, code repository, and presentation slides</w:t>
            </w:r>
          </w:p>
        </w:tc>
      </w:tr>
    </w:tbl>
    <w:p>
      <w:pPr>
        <w:pStyle w:val="Heading1"/>
        <w:spacing w:after="160" w:before="240"/>
      </w:pPr>
      <w:r>
        <w:rPr>
          <w:b/>
          <w:bCs/>
        </w:rPr>
        <w:t xml:space="preserve">7. Expected Results &amp; Outlook</w:t>
      </w:r>
    </w:p>
    <w:p>
      <w:pPr>
        <w:pStyle w:val="ListParagraph"/>
        <w:numPr>
          <w:ilvl w:val="0"/>
          <w:numId w:val="2"/>
        </w:numPr>
        <w:spacing w:after="80" w:line="300"/>
      </w:pPr>
      <w:r>
        <w:rPr>
          <w:b/>
          <w:bCs/>
        </w:rPr>
        <w:t xml:space="preserve">Quantitative: </w:t>
      </w:r>
      <w:r>
        <w:t xml:space="preserve">An LLM-based extraction pipeline reaching F1 ≥ 0.75 on the gold-standard triple set, with statistically significant gains over ChemDataExtractor and at parity-or-better with MatSciBERT-based RE on at least one relation type.</w:t>
      </w:r>
    </w:p>
    <w:p>
      <w:pPr>
        <w:pStyle w:val="ListParagraph"/>
        <w:numPr>
          <w:ilvl w:val="0"/>
          <w:numId w:val="2"/>
        </w:numPr>
        <w:spacing w:after="80" w:line="300"/>
      </w:pPr>
      <w:r>
        <w:rPr>
          <w:b/>
          <w:bCs/>
        </w:rPr>
        <w:t xml:space="preserve">Qualitative: </w:t>
      </w:r>
      <w:r>
        <w:t xml:space="preserve">A characterisation of where LLMs help versus hurt — including failure-mode taxonomy (hallucinated triples, schema violations, missed entities) and a cost/latency profile that informs practical deployment choices.</w:t>
      </w:r>
    </w:p>
    <w:p>
      <w:pPr>
        <w:pStyle w:val="ListParagraph"/>
        <w:numPr>
          <w:ilvl w:val="0"/>
          <w:numId w:val="2"/>
        </w:numPr>
        <w:spacing w:after="80" w:line="300"/>
      </w:pPr>
      <w:r>
        <w:rPr>
          <w:b/>
          <w:bCs/>
        </w:rPr>
        <w:t xml:space="preserve">Artefact: </w:t>
      </w:r>
      <w:r>
        <w:t xml:space="preserve">A populated Neo4j knowledge graph (target: 10,000+ entities, 50,000+ relations) with full provenance, queryable via a Streamlit dashboard that translates natural-language questions to Cypher.</w:t>
      </w:r>
    </w:p>
    <w:p>
      <w:pPr>
        <w:pStyle w:val="ListParagraph"/>
        <w:numPr>
          <w:ilvl w:val="0"/>
          <w:numId w:val="2"/>
        </w:numPr>
        <w:spacing w:after="80" w:line="300"/>
      </w:pPr>
      <w:r>
        <w:rPr>
          <w:b/>
          <w:bCs/>
        </w:rPr>
        <w:t xml:space="preserve">Deliverables: </w:t>
      </w:r>
      <w:r>
        <w:t xml:space="preserve">(1) Reproducible Docker-packaged code repository; (2) Knowledge-graph dump and ontology specification; (3) Evaluation report with full metrics and error analysis; (4) Final written report and slide deck for the case-study defence.</w:t>
      </w:r>
    </w:p>
    <w:p>
      <w:pPr>
        <w:spacing w:after="120" w:line="300"/>
      </w:pPr>
      <w:r>
        <w:t xml:space="preserve">Outlook: The framework is designed to generalise. Once validated on materials science, the same extractor interface, ontology pattern, and evaluation protocol can be re-applied to adjacent domains (catalysis, biomedical, polymer science) with minimal change, opening a path for follow-on research and potential thesis work.</w:t>
      </w:r>
    </w:p>
    <w:p>
      <w:pPr>
        <w:pStyle w:val="Heading1"/>
        <w:spacing w:after="160" w:before="240"/>
      </w:pPr>
      <w:r>
        <w:rPr>
          <w:b/>
          <w:bCs/>
        </w:rPr>
        <w:t xml:space="preserve">References</w:t>
      </w:r>
    </w:p>
    <w:p>
      <w:pPr>
        <w:pStyle w:val="ListParagraph"/>
        <w:numPr>
          <w:ilvl w:val="0"/>
          <w:numId w:val="4"/>
        </w:numPr>
        <w:spacing w:after="100" w:line="280"/>
      </w:pPr>
      <w:r>
        <w:t xml:space="preserve">Dagdelen, J., Dunn, A., Lee, S., Walker, N., Rosen, A. S., Ceder, G., Persson, K. A., &amp; Jain, A. (2024). Structured Information Extraction from Scientific Text with Large Language Models. Nature Communications, 15, 1418.</w:t>
      </w:r>
    </w:p>
    <w:p>
      <w:pPr>
        <w:pStyle w:val="ListParagraph"/>
        <w:numPr>
          <w:ilvl w:val="0"/>
          <w:numId w:val="4"/>
        </w:numPr>
        <w:spacing w:after="100" w:line="280"/>
      </w:pPr>
      <w:r>
        <w:t xml:space="preserve">Edge, D., Trinh, H., Cheng, N., Bradley, J., Chao, A., Mody, A., Truitt, S., &amp; Larson, J. (2024). From Local to Global: A GraphRAG Approach to Query-Focused Summarization. arXiv:2404.16130.</w:t>
      </w:r>
    </w:p>
    <w:p>
      <w:pPr>
        <w:pStyle w:val="ListParagraph"/>
        <w:numPr>
          <w:ilvl w:val="0"/>
          <w:numId w:val="4"/>
        </w:numPr>
        <w:spacing w:after="100" w:line="280"/>
      </w:pPr>
      <w:r>
        <w:t xml:space="preserve">Gupta, T., Zaki, M., Krishnan, N. M. A., &amp; Mausam. (2022). MatSciBERT: A Materials Domain Language Model for Text Mining and Information Extraction. npj Computational Materials, 8(102).</w:t>
      </w:r>
    </w:p>
    <w:p>
      <w:pPr>
        <w:pStyle w:val="ListParagraph"/>
        <w:numPr>
          <w:ilvl w:val="0"/>
          <w:numId w:val="4"/>
        </w:numPr>
        <w:spacing w:after="100" w:line="280"/>
      </w:pPr>
      <w:r>
        <w:t xml:space="preserve">Honnibal, M., Montani, I., Van Landeghem, S., &amp; Boyd, A. (2020). spaCy: Industrial-Strength Natural Language Processing in Python.</w:t>
      </w:r>
    </w:p>
    <w:p>
      <w:pPr>
        <w:pStyle w:val="ListParagraph"/>
        <w:numPr>
          <w:ilvl w:val="0"/>
          <w:numId w:val="4"/>
        </w:numPr>
        <w:spacing w:after="100" w:line="280"/>
      </w:pPr>
      <w:r>
        <w:t xml:space="preserve">Lewis, P., Perez, E., Piktus, A., et al. (2020). Retrieval-Augmented Generation for Knowledge-Intensive NLP Tasks. NeurIPS 33.</w:t>
      </w:r>
    </w:p>
    <w:p>
      <w:pPr>
        <w:pStyle w:val="ListParagraph"/>
        <w:numPr>
          <w:ilvl w:val="0"/>
          <w:numId w:val="4"/>
        </w:numPr>
        <w:spacing w:after="100" w:line="280"/>
      </w:pPr>
      <w:r>
        <w:t xml:space="preserve">Pan, S., Luo, L., Wang, Y., Chen, C., Wang, J., &amp; Wu, X. (2024). Unifying Large Language Models and Knowledge Graphs: A Roadmap. IEEE Transactions on Knowledge and Data Engineering.</w:t>
      </w:r>
    </w:p>
    <w:p>
      <w:pPr>
        <w:pStyle w:val="ListParagraph"/>
        <w:numPr>
          <w:ilvl w:val="0"/>
          <w:numId w:val="4"/>
        </w:numPr>
        <w:spacing w:after="100" w:line="280"/>
      </w:pPr>
      <w:r>
        <w:t xml:space="preserve">Polak, M. P., &amp; Morgan, D. (2024). Extracting Accurate Materials Data from Research Papers with Conversational Language Models and Prompt Engineering. Nature Communications, 15, 1569.</w:t>
      </w:r>
    </w:p>
    <w:p>
      <w:pPr>
        <w:pStyle w:val="ListParagraph"/>
        <w:numPr>
          <w:ilvl w:val="0"/>
          <w:numId w:val="4"/>
        </w:numPr>
        <w:spacing w:after="100" w:line="280"/>
      </w:pPr>
      <w:r>
        <w:t xml:space="preserve">Swain, M. C., &amp; Cole, J. M. (2016). ChemDataExtractor: A Toolkit for Automated Extraction of Chemical Information from the Scientific Literature. Journal of Chemical Information and Modeling, 56(10), 1894–1904.</w:t>
      </w:r>
    </w:p>
    <w:p>
      <w:pPr>
        <w:pStyle w:val="ListParagraph"/>
        <w:numPr>
          <w:ilvl w:val="0"/>
          <w:numId w:val="4"/>
        </w:numPr>
        <w:spacing w:after="100" w:line="280"/>
      </w:pPr>
      <w:r>
        <w:t xml:space="preserve">Trewartha, A., Walker, N., Huo, H., Lee, S., Cruse, K., Dagdelen, J., Dunn, A., Persson, K. A., Ceder, G., &amp; Jain, A. (2022). Quantifying the Advantage of Domain-Specific Pre-training on Named Entity Recognition Tasks in Materials Science. Patterns, 3(4).</w:t>
      </w:r>
    </w:p>
    <w:p>
      <w:pPr>
        <w:pStyle w:val="ListParagraph"/>
        <w:numPr>
          <w:ilvl w:val="0"/>
          <w:numId w:val="4"/>
        </w:numPr>
        <w:spacing w:after="100" w:line="280"/>
      </w:pPr>
      <w:r>
        <w:t xml:space="preserve">Wei, X., Cui, X., Cheng, N., Wang, X., Zhang, X., Huang, S., Xie, P., Xu, J., Chen, Y., Zhang, M., Jiang, Y., &amp; Han, W. (2023). Zero-Shot Information Extraction via Chatting with ChatGPT. arXiv:2302.10205.</w:t>
      </w:r>
    </w:p>
    <w:p>
      <w:pPr>
        <w:pStyle w:val="ListParagraph"/>
        <w:numPr>
          <w:ilvl w:val="0"/>
          <w:numId w:val="4"/>
        </w:numPr>
        <w:spacing w:after="100" w:line="280"/>
      </w:pPr>
      <w:r>
        <w:t xml:space="preserve">Weston, L., Tshitoyan, V., Dagdelen, J., Kononova, O., Trewartha, A., Persson, K. A., Ceder, G., &amp; Jain, A. (2019). Named Entity Recognition and Normalization Applied to Large-Scale Information Extraction from the Materials Science Literature. Journal of Chemical Information and Modeling, 59(9), 3692–3702.</w:t>
      </w:r>
    </w:p>
    <w:p>
      <w:pPr>
        <w:pStyle w:val="ListParagraph"/>
        <w:numPr>
          <w:ilvl w:val="0"/>
          <w:numId w:val="4"/>
        </w:numPr>
        <w:spacing w:after="100" w:line="280"/>
      </w:pPr>
      <w:r>
        <w:t xml:space="preserve">Zaki, M., Jayadeva, Mausam, &amp; Krishnan, N. M. A. (2024). MaScQA: Investigating Materials Science Knowledge of Large Language Models. Digital Discovery, 3, 313–327.</w:t>
      </w:r>
    </w:p>
    <w:p>
      <w:pPr>
        <w:pStyle w:val="ListParagraph"/>
        <w:numPr>
          <w:ilvl w:val="0"/>
          <w:numId w:val="4"/>
        </w:numPr>
        <w:spacing w:after="100" w:line="280"/>
      </w:pPr>
      <w:r>
        <w:t xml:space="preserve">Zheng, Z., Zhang, O., Borgs, C., Chayes, J. T., &amp; Yaghi, O. M. (2023). ChatGPT Chemistry Assistant for Text Mining and the Prediction of MOF Synthesis. Journal of the American Chemical Society, 145(32), 18048–18062.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2 Exposé</dc:title>
  <dc:creator>Abhi</dc:creator>
  <cp:lastModifiedBy>Un-named</cp:lastModifiedBy>
  <cp:revision>1</cp:revision>
  <dcterms:created xsi:type="dcterms:W3CDTF">2026-05-08T19:20:08.783Z</dcterms:created>
  <dcterms:modified xsi:type="dcterms:W3CDTF">2026-05-08T19:20:08.783Z</dcterms:modified>
</cp:coreProperties>
</file>

<file path=docProps/custom.xml><?xml version="1.0" encoding="utf-8"?>
<Properties xmlns="http://schemas.openxmlformats.org/officeDocument/2006/custom-properties" xmlns:vt="http://schemas.openxmlformats.org/officeDocument/2006/docPropsVTypes"/>
</file>