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8"/>
          <w:sz w:val="36"/>
          <w:szCs w:val="36"/>
        </w:rPr>
        <w:t xml:space="preserve">WEEKLY LEADERSHIP REVIEW</w:t>
      </w:r>
    </w:p>
    <w:p>
      <w:pPr>
        <w:jc w:val="center"/>
      </w:pPr>
      <w:r>
        <w:rPr>
          <w:color w:val="444444"/>
          <w:sz w:val="28"/>
          <w:szCs w:val="28"/>
        </w:rPr>
        <w:t xml:space="preserve">Gobind Sugar Mill, Aira</w:t>
      </w:r>
    </w:p>
    <w:p>
      <w:pPr>
        <w:jc w:val="center"/>
      </w:pPr>
      <w:r>
        <w:rPr>
          <w:color w:val="666666"/>
          <w:sz w:val="20"/>
          <w:szCs w:val="20"/>
        </w:rPr>
        <w:t xml:space="preserve">Week: 31 Oct 2025 vs Previous Week (24 Oct 2025)</w:t>
      </w:r>
    </w:p>
    <w:p>
      <w:pPr>
        <w:jc w:val="center"/>
      </w:pPr>
      <w:r>
        <w:rPr>
          <w:color w:val="666666"/>
          <w:sz w:val="20"/>
          <w:szCs w:val="20"/>
        </w:rPr>
        <w:t xml:space="preserve">Season Day: 6</w:t>
      </w:r>
    </w:p>
    <w:p>
      <w:pPr>
        <w:spacing w:after="300"/>
      </w:pPr>
    </w:p>
    <w:p>
      <w:pPr>
        <w:pBdr>
          <w:bottom w:val="single" w:color="1F4E78" w:sz="6" w:space="1"/>
        </w:pBdr>
      </w:pPr>
      <w:r>
        <w:rPr>
          <w:b/>
          <w:bCs/>
          <w:color w:val="1F4E78"/>
          <w:sz w:val="26"/>
          <w:szCs w:val="26"/>
        </w:rPr>
        <w:t xml:space="preserve">PART 1 – INSIGHT NARRATIVE</w:t>
      </w:r>
    </w:p>
    <w:p>
      <w:pPr>
        <w:spacing w:after="150"/>
      </w:pPr>
    </w:p>
    <w:p>
      <w:r>
        <w:rPr>
          <w:b/>
          <w:bCs/>
          <w:color w:val="2E75B5"/>
          <w:sz w:val="24"/>
          <w:szCs w:val="24"/>
        </w:rPr>
        <w:t xml:space="preserve">1. Executive Summary (Key Insights)</w:t>
      </w:r>
    </w:p>
    <w:p>
      <w:pPr>
        <w:pStyle w:val="ListParagraph"/>
        <w:numPr>
          <w:ilvl w:val="0"/>
          <w:numId w:val="1"/>
        </w:numPr>
        <w:spacing w:before="100"/>
      </w:pPr>
      <w:r>
        <w:rPr>
          <w:b/>
          <w:bCs/>
          <w:sz w:val="22"/>
          <w:szCs w:val="22"/>
        </w:rPr>
        <w:t xml:space="preserve">CRUSHING PERFORMANCE: </w:t>
      </w:r>
      <w:r>
        <w:rPr>
          <w:sz w:val="22"/>
          <w:szCs w:val="22"/>
        </w:rPr>
        <w:t xml:space="preserve">Total Sugarcane Crush maintained at 4.25 LQ for both weeks with sugar recovery stable at 9.00%. Pol in cane 10.89% reported for current week. Daily indent rate for cane at 1.56 LQ with cane purchased at 0.43 LQ. Center indent maturity at 65%, gate indent 50%.</w:t>
      </w:r>
    </w:p>
    <w:p>
      <w:pPr>
        <w:pStyle w:val="ListParagraph"/>
        <w:numPr>
          <w:ilvl w:val="0"/>
          <w:numId w:val="1"/>
        </w:numPr>
        <w:spacing w:before="100"/>
      </w:pPr>
      <w:r>
        <w:rPr>
          <w:b/>
          <w:bCs/>
          <w:sz w:val="22"/>
          <w:szCs w:val="22"/>
        </w:rPr>
        <w:t xml:space="preserve">RECOVERY: </w:t>
      </w:r>
      <w:r>
        <w:rPr>
          <w:sz w:val="22"/>
          <w:szCs w:val="22"/>
        </w:rPr>
        <w:t xml:space="preserve">Sugar recovery stable at 9.00% week-on-week, but below target of 11.53% for the season. Historical recovery trend vs current shows improvement but still lower vs previous seasons.</w:t>
      </w:r>
    </w:p>
    <w:p>
      <w:pPr>
        <w:pStyle w:val="ListParagraph"/>
        <w:numPr>
          <w:ilvl w:val="0"/>
          <w:numId w:val="1"/>
        </w:numPr>
        <w:spacing w:before="100"/>
      </w:pPr>
      <w:r>
        <w:rPr>
          <w:b/>
          <w:bCs/>
          <w:sz w:val="22"/>
          <w:szCs w:val="22"/>
        </w:rPr>
        <w:t xml:space="preserve">LOSSES: </w:t>
      </w:r>
      <w:r>
        <w:rPr>
          <w:sz w:val="22"/>
          <w:szCs w:val="22"/>
        </w:rPr>
        <w:t xml:space="preserve">Total pol losses stable at 1.88% with breakdown as Bagasse 0.55%, Filter Cake 0.08%, Final Molasses 1.08%, and Unknown 0.17%. Losses stable vs last week.</w:t>
      </w:r>
    </w:p>
    <w:p>
      <w:pPr>
        <w:pStyle w:val="ListParagraph"/>
        <w:numPr>
          <w:ilvl w:val="0"/>
          <w:numId w:val="1"/>
        </w:numPr>
        <w:spacing w:before="100"/>
      </w:pPr>
      <w:r>
        <w:rPr>
          <w:b/>
          <w:bCs/>
          <w:sz w:val="22"/>
          <w:szCs w:val="22"/>
        </w:rPr>
        <w:t xml:space="preserve">POWER: </w:t>
      </w:r>
      <w:r>
        <w:rPr>
          <w:sz w:val="22"/>
          <w:szCs w:val="22"/>
        </w:rPr>
        <w:t xml:space="preserve">Power generation reported at 44.69 LU with 66.68% export. Power plant capacity utilization good with 150 TPH boiler at 151.7%, 30.85 MW turbine at 95.16%, and auxiliary consumption within limits. Power consumption at 32.61 KW/T cane against target of 31.54.</w:t>
      </w:r>
    </w:p>
    <w:p>
      <w:pPr>
        <w:pStyle w:val="ListParagraph"/>
        <w:numPr>
          <w:ilvl w:val="0"/>
          <w:numId w:val="1"/>
        </w:numPr>
        <w:spacing w:before="100"/>
      </w:pPr>
      <w:r>
        <w:rPr>
          <w:b/>
          <w:bCs/>
          <w:sz w:val="22"/>
          <w:szCs w:val="22"/>
        </w:rPr>
        <w:t xml:space="preserve">DISTILLERY: </w:t>
      </w:r>
      <w:r>
        <w:rPr>
          <w:sz w:val="22"/>
          <w:szCs w:val="22"/>
        </w:rPr>
        <w:t xml:space="preserve">Ethanol production improved to 1.86 LL (from 1.38), with distillery PUF increasing to 100.72%. Ethanol recovery on syrup at 5.97 BL/Qtl cane and fermentation efficiency stable at 91.03%. Downtime for distillery zero in current week vs prior week of 132.50 hrs.</w:t>
      </w:r>
    </w:p>
    <w:p>
      <w:pPr>
        <w:pStyle w:val="ListParagraph"/>
        <w:numPr>
          <w:ilvl w:val="0"/>
          <w:numId w:val="1"/>
        </w:numPr>
        <w:spacing w:before="100"/>
      </w:pPr>
      <w:r>
        <w:rPr>
          <w:b/>
          <w:bCs/>
          <w:sz w:val="22"/>
          <w:szCs w:val="22"/>
        </w:rPr>
        <w:t xml:space="preserve">SUGAR QUALITY: </w:t>
      </w:r>
      <w:r>
        <w:rPr>
          <w:sz w:val="22"/>
          <w:szCs w:val="22"/>
        </w:rPr>
        <w:t xml:space="preserve">Sugar ICUMSA for RS M-sugar at 30, L-sugar at 36. DS house quality data not fully available. Pol in filter cake slightly above target at 2.21% vs 2%.</w:t>
      </w:r>
    </w:p>
    <w:p>
      <w:pPr>
        <w:pStyle w:val="ListParagraph"/>
        <w:numPr>
          <w:ilvl w:val="0"/>
          <w:numId w:val="1"/>
        </w:numPr>
        <w:spacing w:before="100"/>
      </w:pPr>
      <w:r>
        <w:rPr>
          <w:b/>
          <w:bCs/>
          <w:sz w:val="22"/>
          <w:szCs w:val="22"/>
        </w:rPr>
        <w:t xml:space="preserve">CAPEX / PROJECTS: </w:t>
      </w:r>
      <w:r>
        <w:rPr>
          <w:sz w:val="22"/>
          <w:szCs w:val="22"/>
        </w:rPr>
        <w:t xml:space="preserve">Mill roller shaft drawing sent for machining, expected by end Nov 2025. Rotary screen refurbishment completed and in operation. Various other project works in progress with some delayed due to receipt of materials and long delivery times.</w:t>
      </w:r>
    </w:p>
    <w:p>
      <w:pPr>
        <w:pStyle w:val="ListParagraph"/>
        <w:numPr>
          <w:ilvl w:val="0"/>
          <w:numId w:val="1"/>
        </w:numPr>
        <w:spacing w:before="100"/>
      </w:pPr>
      <w:r>
        <w:rPr>
          <w:b/>
          <w:bCs/>
          <w:sz w:val="22"/>
          <w:szCs w:val="22"/>
        </w:rPr>
        <w:t xml:space="preserve">EHS &amp; SAFETY: </w:t>
      </w:r>
      <w:r>
        <w:rPr>
          <w:sz w:val="22"/>
          <w:szCs w:val="22"/>
        </w:rPr>
        <w:t xml:space="preserve">No major incidents reported. Several hazard observations and near-miss reports closed with corrective actions completed. Ongoing monitoring and reinforcement of safety protocols continue.</w:t>
      </w:r>
    </w:p>
    <w:p>
      <w:pPr>
        <w:spacing w:after="150"/>
      </w:pPr>
    </w:p>
    <w:p>
      <w:pPr>
        <w:spacing w:before="200" w:after="100"/>
      </w:pPr>
      <w:r>
        <w:rPr>
          <w:b/>
          <w:bCs/>
          <w:color w:val="2E75B5"/>
          <w:sz w:val="22"/>
          <w:szCs w:val="22"/>
        </w:rPr>
        <w:t xml:space="preserve">2. Overall Performance</w:t>
      </w:r>
    </w:p>
    <w:p>
      <w:pPr>
        <w:spacing w:after="100"/>
      </w:pPr>
      <w:r>
        <w:t xml:space="preserve">The plant began crushing on 25 Oct 2025 with stable crushing volumes and sugar recovery at 9.00%. Power and distillery units operated reliably with increased ethanol production. Total losses remained under control. Engineering and project works are progressing under planned schedules with minor delays. Safety and EHS adherence maintained high standards with timely corrective actions.</w:t>
      </w:r>
    </w:p>
    <w:p>
      <w:pPr>
        <w:spacing w:before="200" w:after="100"/>
      </w:pPr>
      <w:r>
        <w:rPr>
          <w:b/>
          <w:bCs/>
          <w:color w:val="2E75B5"/>
          <w:sz w:val="22"/>
          <w:szCs w:val="22"/>
        </w:rPr>
        <w:t xml:space="preserve">3. Benchmark &amp; Comparative Position</w:t>
      </w:r>
    </w:p>
    <w:p>
      <w:pPr>
        <w:spacing w:after="100"/>
      </w:pPr>
      <w:r>
        <w:t xml:space="preserve">Capacity utilization at 70.90% is below target of 94.71%. Recovery at 9.00% is below the seasonal target of 11.53%. Power consumption (32.61 KW/T) is slightly above target (31.54). Distillery shows improved capacity utilization (100.72%). Total pol losses (1.88%) are under target thresholds.</w:t>
      </w:r>
    </w:p>
    <w:p>
      <w:pPr>
        <w:spacing w:before="200" w:after="100"/>
      </w:pPr>
      <w:r>
        <w:rPr>
          <w:b/>
          <w:bCs/>
          <w:color w:val="2E75B5"/>
          <w:sz w:val="22"/>
          <w:szCs w:val="22"/>
        </w:rPr>
        <w:t xml:space="preserve">4. Cane Planning &amp; Control</w:t>
      </w:r>
    </w:p>
    <w:p>
      <w:pPr>
        <w:spacing w:after="100"/>
      </w:pPr>
      <w:r>
        <w:t xml:space="preserve">Daily indent rate at 1.56 LQ meets requirement. Gate and center indent maturity are low at 50% and 65% respectively with various centers showing flood effects and truck issues impacting logistics. Call center instituted with same day resolution for unloading issues.</w:t>
      </w:r>
    </w:p>
    <w:p>
      <w:pPr>
        <w:spacing w:before="200" w:after="100"/>
      </w:pPr>
      <w:r>
        <w:rPr>
          <w:b/>
          <w:bCs/>
          <w:color w:val="2E75B5"/>
          <w:sz w:val="22"/>
          <w:szCs w:val="22"/>
        </w:rPr>
        <w:t xml:space="preserve">5. Engineering &amp; Milling Performance</w:t>
      </w:r>
    </w:p>
    <w:p>
      <w:pPr>
        <w:spacing w:after="100"/>
      </w:pPr>
      <w:r>
        <w:t xml:space="preserve">Crushing hours utilized at 98.68% with downtime reduced to 1.54 hrs. Planned stoppage zero, forced shutdown 1.30 hrs. Mill extraction (ME) at 94.94% slightly below target of 96-96.5%. Bagasse pol and moisture elevated above targets. Engineering spares and critical projects progressing with some deferrals.</w:t>
      </w:r>
    </w:p>
    <w:p>
      <w:pPr>
        <w:spacing w:before="200" w:after="100"/>
      </w:pPr>
      <w:r>
        <w:rPr>
          <w:b/>
          <w:bCs/>
          <w:color w:val="2E75B5"/>
          <w:sz w:val="22"/>
          <w:szCs w:val="22"/>
        </w:rPr>
        <w:t xml:space="preserve">6. Production Performance</w:t>
      </w:r>
    </w:p>
    <w:p>
      <w:pPr>
        <w:spacing w:after="100"/>
      </w:pPr>
      <w:r>
        <w:t xml:space="preserve">Sugar production low at 0.12 LQ for the week. Both RS and DS houses operating; DS house started 29 Oct. R3 pan erection in progress. Sugar bagging below targets. Quality parameters show stable molasses purity and sugar quality within limits.</w:t>
      </w:r>
    </w:p>
    <w:p>
      <w:pPr>
        <w:spacing w:before="200" w:after="100"/>
      </w:pPr>
      <w:r>
        <w:rPr>
          <w:b/>
          <w:bCs/>
          <w:color w:val="2E75B5"/>
          <w:sz w:val="22"/>
          <w:szCs w:val="22"/>
        </w:rPr>
        <w:t xml:space="preserve">7. Power Plant Performance</w:t>
      </w:r>
    </w:p>
    <w:p>
      <w:pPr>
        <w:spacing w:after="100"/>
      </w:pPr>
      <w:r>
        <w:t xml:space="preserve">Power generation at 44.69 LU with export 29.80 LU (66.68%). 150 TPH boiler capacity utilization at 151.7%, 70 TPH boiler at 51.0%, 30.85 MW turbine PLF of 95.16%. Auxiliary power consumption on 30.85 MW unit at 9.38%. Boiler efficiency and steam/fuel ratios within acceptable limits. Minor leakage incident attended promptly.</w:t>
      </w:r>
    </w:p>
    <w:p>
      <w:pPr>
        <w:spacing w:before="200" w:after="100"/>
      </w:pPr>
      <w:r>
        <w:rPr>
          <w:b/>
          <w:bCs/>
          <w:color w:val="2E75B5"/>
          <w:sz w:val="22"/>
          <w:szCs w:val="22"/>
        </w:rPr>
        <w:t xml:space="preserve">8. Distillery Performance</w:t>
      </w:r>
    </w:p>
    <w:p>
      <w:pPr>
        <w:spacing w:after="100"/>
      </w:pPr>
      <w:r>
        <w:t xml:space="preserve">Ethanol production increased to 1.86 LL with 100.72% capacity utilization. Fermentation efficiency stable at 91.03%, distillation efficiency at 98.63%. Steam and power consumptions remain within target. Downtime zero for current week improving from prior week.</w:t>
      </w:r>
    </w:p>
    <w:p>
      <w:pPr>
        <w:spacing w:before="200" w:after="100"/>
      </w:pPr>
      <w:r>
        <w:rPr>
          <w:b/>
          <w:bCs/>
          <w:color w:val="2E75B5"/>
          <w:sz w:val="22"/>
          <w:szCs w:val="22"/>
        </w:rPr>
        <w:t xml:space="preserve">9. Quality Control &amp; EHS</w:t>
      </w:r>
    </w:p>
    <w:p>
      <w:pPr>
        <w:spacing w:after="100"/>
      </w:pPr>
      <w:r>
        <w:t xml:space="preserve">Sugar quality parameters stable with ICUMSA M and L sugar meeting targets. Total losses stable. Multiple EHS observations addressed. Near-miss reporting system actively in use with all issues closed.</w:t>
      </w:r>
    </w:p>
    <w:p>
      <w:pPr>
        <w:spacing w:after="150"/>
      </w:pPr>
    </w:p>
    <w:p>
      <w:r>
        <w:rPr>
          <w:b/>
          <w:bCs/>
          <w:color w:val="C00000"/>
          <w:sz w:val="24"/>
          <w:szCs w:val="24"/>
        </w:rPr>
        <w:t xml:space="preserve">Risks &amp; Watch-outs for the Coming Week</w:t>
      </w:r>
    </w:p>
    <w:p>
      <w:pPr>
        <w:pStyle w:val="ListParagraph"/>
        <w:numPr>
          <w:ilvl w:val="0"/>
          <w:numId w:val="1"/>
        </w:numPr>
        <w:spacing w:before="80"/>
      </w:pPr>
      <w:r>
        <w:t xml:space="preserve">Flood affected cane supply impacting indent maturity and holding times.</w:t>
      </w:r>
    </w:p>
    <w:p>
      <w:pPr>
        <w:pStyle w:val="ListParagraph"/>
        <w:numPr>
          <w:ilvl w:val="0"/>
          <w:numId w:val="1"/>
        </w:numPr>
        <w:spacing w:before="80"/>
      </w:pPr>
      <w:r>
        <w:t xml:space="preserve">Truck availability issues impacting procurement logistics in some centers.</w:t>
      </w:r>
    </w:p>
    <w:p>
      <w:pPr>
        <w:pStyle w:val="ListParagraph"/>
        <w:numPr>
          <w:ilvl w:val="0"/>
          <w:numId w:val="1"/>
        </w:numPr>
        <w:spacing w:before="80"/>
      </w:pPr>
      <w:r>
        <w:t xml:space="preserve">Elevated bagasse pol % and moisture affecting quality targets.</w:t>
      </w:r>
    </w:p>
    <w:p>
      <w:pPr>
        <w:pStyle w:val="ListParagraph"/>
        <w:numPr>
          <w:ilvl w:val="0"/>
          <w:numId w:val="1"/>
        </w:numPr>
        <w:spacing w:before="80"/>
      </w:pPr>
      <w:r>
        <w:t xml:space="preserve">Minor forced shutdown of 1.30 hrs in crushing related to engineering.</w:t>
      </w:r>
    </w:p>
    <w:p>
      <w:pPr>
        <w:pStyle w:val="ListParagraph"/>
        <w:numPr>
          <w:ilvl w:val="0"/>
          <w:numId w:val="1"/>
        </w:numPr>
        <w:spacing w:before="80"/>
      </w:pPr>
      <w:r>
        <w:t xml:space="preserve">Boiler water wall panel leakage with stoppage of 3 hours resolved.</w:t>
      </w:r>
    </w:p>
    <w:p>
      <w:pPr>
        <w:pStyle w:val="ListParagraph"/>
        <w:numPr>
          <w:ilvl w:val="0"/>
          <w:numId w:val="1"/>
        </w:numPr>
        <w:spacing w:before="80"/>
      </w:pPr>
      <w:r>
        <w:t xml:space="preserve">Pending critical spares delivery may impact future reliability.</w:t>
      </w:r>
    </w:p>
    <w:p>
      <w:pPr>
        <w:pStyle w:val="ListParagraph"/>
        <w:numPr>
          <w:ilvl w:val="0"/>
          <w:numId w:val="1"/>
        </w:numPr>
        <w:spacing w:before="80"/>
      </w:pPr>
      <w:r>
        <w:t xml:space="preserve">Commissioning delays for some electrical and instrument systems.</w:t>
      </w:r>
    </w:p>
    <w:p>
      <w:pPr>
        <w:spacing w:after="300"/>
      </w:pPr>
    </w:p>
    <w:p>
      <w:r>
        <w:rPr>
          <w:b/>
          <w:bCs/>
          <w:color w:val="006666"/>
          <w:sz w:val="24"/>
          <w:szCs w:val="24"/>
        </w:rPr>
        <w:t xml:space="preserve">TABLE A – Quantitative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KPI</w:t>
            </w:r>
          </w:p>
        </w:tc>
        <w:tc>
          <w:tcPr>
            <w:shd w:fill="006666" w:color="auto" w:val="clear"/>
            <w:tcMar>
              <w:top w:type="dxa" w:w="100"/>
              <w:left w:type="dxa" w:w="100"/>
              <w:bottom w:type="dxa" w:w="100"/>
              <w:right w:type="dxa" w:w="100"/>
            </w:tcMar>
          </w:tcPr>
          <w:p>
            <w:pPr>
              <w:jc w:val="center"/>
            </w:pPr>
            <w:r>
              <w:rPr>
                <w:b/>
                <w:bCs/>
                <w:color w:val="FFFFFF"/>
              </w:rPr>
              <w:t xml:space="preserve">Current Week</w:t>
            </w:r>
          </w:p>
        </w:tc>
        <w:tc>
          <w:tcPr>
            <w:shd w:fill="006666" w:color="auto" w:val="clear"/>
            <w:tcMar>
              <w:top w:type="dxa" w:w="100"/>
              <w:left w:type="dxa" w:w="100"/>
              <w:bottom w:type="dxa" w:w="100"/>
              <w:right w:type="dxa" w:w="100"/>
            </w:tcMar>
          </w:tcPr>
          <w:p>
            <w:pPr>
              <w:jc w:val="center"/>
            </w:pPr>
            <w:r>
              <w:rPr>
                <w:b/>
                <w:bCs/>
                <w:color w:val="FFFFFF"/>
              </w:rPr>
              <w:t xml:space="preserve">Last Week</w:t>
            </w:r>
          </w:p>
        </w:tc>
        <w:tc>
          <w:tcPr>
            <w:shd w:fill="006666" w:color="auto" w:val="clear"/>
            <w:tcMar>
              <w:top w:type="dxa" w:w="100"/>
              <w:left w:type="dxa" w:w="100"/>
              <w:bottom w:type="dxa" w:w="100"/>
              <w:right w:type="dxa" w:w="100"/>
            </w:tcMar>
          </w:tcPr>
          <w:p>
            <w:pPr>
              <w:jc w:val="center"/>
            </w:pPr>
            <w:r>
              <w:rPr>
                <w:b/>
                <w:bCs/>
                <w:color w:val="FFFFFF"/>
              </w:rPr>
              <w:t xml:space="preserve">Till Date</w:t>
            </w:r>
          </w:p>
        </w:tc>
        <w:tc>
          <w:tcPr>
            <w:shd w:fill="006666" w:color="auto" w:val="clear"/>
            <w:tcMar>
              <w:top w:type="dxa" w:w="100"/>
              <w:left w:type="dxa" w:w="100"/>
              <w:bottom w:type="dxa" w:w="100"/>
              <w:right w:type="dxa" w:w="100"/>
            </w:tcMar>
          </w:tcPr>
          <w:p>
            <w:pPr>
              <w:jc w:val="center"/>
            </w:pPr>
            <w:r>
              <w:rPr>
                <w:b/>
                <w:bCs/>
                <w:color w:val="FFFFFF"/>
              </w:rPr>
              <w:t xml:space="preserve">WoW Change</w:t>
            </w:r>
          </w:p>
        </w:tc>
      </w:tr>
      <w:tr>
        <w:tc>
          <w:tcPr>
            <w:tcMar>
              <w:top w:type="dxa" w:w="80"/>
              <w:left w:type="dxa" w:w="100"/>
              <w:bottom w:type="dxa" w:w="80"/>
              <w:right w:type="dxa" w:w="100"/>
            </w:tcMar>
          </w:tcPr>
          <w:p>
            <w:r>
              <w:t xml:space="preserve">Total Sugarcane Crush (LQ)</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4.25</w:t>
            </w:r>
          </w:p>
        </w:tc>
        <w:tc>
          <w:tcPr>
            <w:tcMar>
              <w:top w:type="dxa" w:w="80"/>
              <w:left w:type="dxa" w:w="100"/>
              <w:bottom w:type="dxa" w:w="80"/>
              <w:right w:type="dxa" w:w="100"/>
            </w:tcMar>
          </w:tcPr>
          <w:p>
            <w:r>
              <w:t xml:space="preserve">0.00</w:t>
            </w:r>
          </w:p>
        </w:tc>
      </w:tr>
      <w:tr>
        <w:tc>
          <w:tcPr>
            <w:tcMar>
              <w:top w:type="dxa" w:w="80"/>
              <w:left w:type="dxa" w:w="100"/>
              <w:bottom w:type="dxa" w:w="80"/>
              <w:right w:type="dxa" w:w="100"/>
            </w:tcMar>
          </w:tcPr>
          <w:p>
            <w:r>
              <w:t xml:space="preserve">Sugar Recovery (%)</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9.00%</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Sugar Produced (LQ)</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0.12</w:t>
            </w:r>
          </w:p>
        </w:tc>
        <w:tc>
          <w:tcPr>
            <w:tcMar>
              <w:top w:type="dxa" w:w="80"/>
              <w:left w:type="dxa" w:w="100"/>
              <w:bottom w:type="dxa" w:w="80"/>
              <w:right w:type="dxa" w:w="100"/>
            </w:tcMar>
          </w:tcPr>
          <w:p>
            <w:r>
              <w:t xml:space="preserve">0.00</w:t>
            </w:r>
          </w:p>
        </w:tc>
      </w:tr>
      <w:tr>
        <w:tc>
          <w:tcPr>
            <w:tcMar>
              <w:top w:type="dxa" w:w="80"/>
              <w:left w:type="dxa" w:w="100"/>
              <w:bottom w:type="dxa" w:w="80"/>
              <w:right w:type="dxa" w:w="100"/>
            </w:tcMar>
          </w:tcPr>
          <w:p>
            <w:r>
              <w:t xml:space="preserve">Capacity Utilization (%) Milling PUF</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70.90%</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Sugar Bagging (Nos.)</w:t>
            </w:r>
          </w:p>
        </w:tc>
        <w:tc>
          <w:tcPr>
            <w:tcMar>
              <w:top w:type="dxa" w:w="80"/>
              <w:left w:type="dxa" w:w="100"/>
              <w:bottom w:type="dxa" w:w="80"/>
              <w:right w:type="dxa" w:w="100"/>
            </w:tcMar>
          </w:tcPr>
          <w:p>
            <w:r>
              <w:t xml:space="preserve">59015/ 56580</w:t>
            </w:r>
          </w:p>
        </w:tc>
        <w:tc>
          <w:tcPr>
            <w:tcMar>
              <w:top w:type="dxa" w:w="80"/>
              <w:left w:type="dxa" w:w="100"/>
              <w:bottom w:type="dxa" w:w="80"/>
              <w:right w:type="dxa" w:w="100"/>
            </w:tcMar>
          </w:tcPr>
          <w:p>
            <w:r>
              <w:t xml:space="preserve">64056/ 58862</w:t>
            </w:r>
          </w:p>
        </w:tc>
        <w:tc>
          <w:tcPr>
            <w:tcMar>
              <w:top w:type="dxa" w:w="80"/>
              <w:left w:type="dxa" w:w="100"/>
              <w:bottom w:type="dxa" w:w="80"/>
              <w:right w:type="dxa" w:w="100"/>
            </w:tcMar>
          </w:tcPr>
          <w:p>
            <w:r>
              <w:t xml:space="preserve">326138/ 330405</w:t>
            </w:r>
          </w:p>
        </w:tc>
        <w:tc>
          <w:tcPr>
            <w:tcMar>
              <w:top w:type="dxa" w:w="80"/>
              <w:left w:type="dxa" w:w="100"/>
              <w:bottom w:type="dxa" w:w="80"/>
              <w:right w:type="dxa" w:w="100"/>
            </w:tcMar>
          </w:tcPr>
          <w:p>
            <w:r>
              <w:t xml:space="preserve">Change not explicitly stated in the slide.</w:t>
            </w:r>
          </w:p>
        </w:tc>
      </w:tr>
      <w:tr>
        <w:tc>
          <w:tcPr>
            <w:tcMar>
              <w:top w:type="dxa" w:w="80"/>
              <w:left w:type="dxa" w:w="100"/>
              <w:bottom w:type="dxa" w:w="80"/>
              <w:right w:type="dxa" w:w="100"/>
            </w:tcMar>
          </w:tcPr>
          <w:p>
            <w:r>
              <w:t xml:space="preserve">Power Generation (LU)</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44.69</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Power Export (LU)</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29.80</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Power PUF</w:t>
            </w:r>
          </w:p>
        </w:tc>
        <w:tc>
          <w:tcPr>
            <w:tcMar>
              <w:top w:type="dxa" w:w="80"/>
              <w:left w:type="dxa" w:w="100"/>
              <w:bottom w:type="dxa" w:w="80"/>
              <w:right w:type="dxa" w:w="100"/>
            </w:tcMar>
          </w:tcPr>
          <w:p>
            <w:r>
              <w:t xml:space="preserve">77.59%</w:t>
            </w:r>
          </w:p>
        </w:tc>
        <w:tc>
          <w:tcPr>
            <w:tcMar>
              <w:top w:type="dxa" w:w="80"/>
              <w:left w:type="dxa" w:w="100"/>
              <w:bottom w:type="dxa" w:w="80"/>
              <w:right w:type="dxa" w:w="100"/>
            </w:tcMar>
          </w:tcPr>
          <w:p>
            <w:r>
              <w:t xml:space="preserve">77.59%</w:t>
            </w:r>
          </w:p>
        </w:tc>
        <w:tc>
          <w:tcPr>
            <w:tcMar>
              <w:top w:type="dxa" w:w="80"/>
              <w:left w:type="dxa" w:w="100"/>
              <w:bottom w:type="dxa" w:w="80"/>
              <w:right w:type="dxa" w:w="100"/>
            </w:tcMar>
          </w:tcPr>
          <w:p>
            <w:r>
              <w:t xml:space="preserve">77.59%</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Distillery PUF</w:t>
            </w:r>
          </w:p>
        </w:tc>
        <w:tc>
          <w:tcPr>
            <w:tcMar>
              <w:top w:type="dxa" w:w="80"/>
              <w:left w:type="dxa" w:w="100"/>
              <w:bottom w:type="dxa" w:w="80"/>
              <w:right w:type="dxa" w:w="100"/>
            </w:tcMar>
          </w:tcPr>
          <w:p>
            <w:r>
              <w:t xml:space="preserve">100.72%</w:t>
            </w:r>
          </w:p>
        </w:tc>
        <w:tc>
          <w:tcPr>
            <w:tcMar>
              <w:top w:type="dxa" w:w="80"/>
              <w:left w:type="dxa" w:w="100"/>
              <w:bottom w:type="dxa" w:w="80"/>
              <w:right w:type="dxa" w:w="100"/>
            </w:tcMar>
          </w:tcPr>
          <w:p>
            <w:r>
              <w:t xml:space="preserve">76.82%</w:t>
            </w:r>
          </w:p>
        </w:tc>
        <w:tc>
          <w:tcPr>
            <w:tcMar>
              <w:top w:type="dxa" w:w="80"/>
              <w:left w:type="dxa" w:w="100"/>
              <w:bottom w:type="dxa" w:w="80"/>
              <w:right w:type="dxa" w:w="100"/>
            </w:tcMar>
          </w:tcPr>
          <w:p>
            <w:r>
              <w:t xml:space="preserve">71.95%</w:t>
            </w:r>
          </w:p>
        </w:tc>
        <w:tc>
          <w:tcPr>
            <w:tcMar>
              <w:top w:type="dxa" w:w="80"/>
              <w:left w:type="dxa" w:w="100"/>
              <w:bottom w:type="dxa" w:w="80"/>
              <w:right w:type="dxa" w:w="100"/>
            </w:tcMar>
          </w:tcPr>
          <w:p>
            <w:r>
              <w:t xml:space="preserve">Improved</w:t>
            </w:r>
          </w:p>
        </w:tc>
      </w:tr>
      <w:tr>
        <w:tc>
          <w:tcPr>
            <w:tcMar>
              <w:top w:type="dxa" w:w="80"/>
              <w:left w:type="dxa" w:w="100"/>
              <w:bottom w:type="dxa" w:w="80"/>
              <w:right w:type="dxa" w:w="100"/>
            </w:tcMar>
          </w:tcPr>
          <w:p>
            <w:r>
              <w:t xml:space="preserve">Total Pol Losses</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1.88%</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Bagasse Moisture</w:t>
            </w:r>
          </w:p>
        </w:tc>
        <w:tc>
          <w:tcPr>
            <w:tcMar>
              <w:top w:type="dxa" w:w="80"/>
              <w:left w:type="dxa" w:w="100"/>
              <w:bottom w:type="dxa" w:w="80"/>
              <w:right w:type="dxa" w:w="100"/>
            </w:tcMar>
          </w:tcPr>
          <w:p>
            <w:r>
              <w:t xml:space="preserve">50.52%</w:t>
            </w:r>
          </w:p>
        </w:tc>
        <w:tc>
          <w:tcPr>
            <w:tcMar>
              <w:top w:type="dxa" w:w="80"/>
              <w:left w:type="dxa" w:w="100"/>
              <w:bottom w:type="dxa" w:w="80"/>
              <w:right w:type="dxa" w:w="100"/>
            </w:tcMar>
          </w:tcPr>
          <w:p>
            <w:r>
              <w:t xml:space="preserve">50.52%</w:t>
            </w:r>
          </w:p>
        </w:tc>
        <w:tc>
          <w:tcPr>
            <w:tcMar>
              <w:top w:type="dxa" w:w="80"/>
              <w:left w:type="dxa" w:w="100"/>
              <w:bottom w:type="dxa" w:w="80"/>
              <w:right w:type="dxa" w:w="100"/>
            </w:tcMar>
          </w:tcPr>
          <w:p>
            <w:r>
              <w:t xml:space="preserve">50.52%</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Pol % Bagasse</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1.96%</w:t>
            </w:r>
          </w:p>
        </w:tc>
        <w:tc>
          <w:tcPr>
            <w:tcMar>
              <w:top w:type="dxa" w:w="80"/>
              <w:left w:type="dxa" w:w="100"/>
              <w:bottom w:type="dxa" w:w="80"/>
              <w:right w:type="dxa" w:w="100"/>
            </w:tcMar>
          </w:tcPr>
          <w:p>
            <w:r>
              <w:t xml:space="preserve">Flat</w:t>
            </w:r>
          </w:p>
        </w:tc>
      </w:tr>
      <w:tr>
        <w:tc>
          <w:tcPr>
            <w:tcMar>
              <w:top w:type="dxa" w:w="80"/>
              <w:left w:type="dxa" w:w="100"/>
              <w:bottom w:type="dxa" w:w="80"/>
              <w:right w:type="dxa" w:w="100"/>
            </w:tcMar>
          </w:tcPr>
          <w:p>
            <w:r>
              <w:t xml:space="preserve">Pol in Cane (%)</w:t>
            </w:r>
          </w:p>
        </w:tc>
        <w:tc>
          <w:tcPr>
            <w:tcMar>
              <w:top w:type="dxa" w:w="80"/>
              <w:left w:type="dxa" w:w="100"/>
              <w:bottom w:type="dxa" w:w="80"/>
              <w:right w:type="dxa" w:w="100"/>
            </w:tcMar>
          </w:tcPr>
          <w:p>
            <w:r>
              <w:t xml:space="preserve">10.89</w:t>
            </w:r>
          </w:p>
        </w:tc>
        <w:tc>
          <w:tcPr>
            <w:tcMar>
              <w:top w:type="dxa" w:w="80"/>
              <w:left w:type="dxa" w:w="100"/>
              <w:bottom w:type="dxa" w:w="80"/>
              <w:right w:type="dxa" w:w="100"/>
            </w:tcMar>
          </w:tcPr>
          <w:p>
            <w:r>
              <w:t xml:space="preserve">10.89</w:t>
            </w:r>
          </w:p>
        </w:tc>
        <w:tc>
          <w:tcPr>
            <w:tcMar>
              <w:top w:type="dxa" w:w="80"/>
              <w:left w:type="dxa" w:w="100"/>
              <w:bottom w:type="dxa" w:w="80"/>
              <w:right w:type="dxa" w:w="100"/>
            </w:tcMar>
          </w:tcPr>
          <w:p>
            <w:r>
              <w:t xml:space="preserve">10.89</w:t>
            </w:r>
          </w:p>
        </w:tc>
        <w:tc>
          <w:tcPr>
            <w:tcMar>
              <w:top w:type="dxa" w:w="80"/>
              <w:left w:type="dxa" w:w="100"/>
              <w:bottom w:type="dxa" w:w="80"/>
              <w:right w:type="dxa" w:w="100"/>
            </w:tcMar>
          </w:tcPr>
          <w:p>
            <w:r>
              <w:t xml:space="preserve">Flat</w:t>
            </w:r>
          </w:p>
        </w:tc>
      </w:tr>
    </w:tbl>
    <w:p>
      <w:pPr>
        <w:spacing w:after="300"/>
      </w:pPr>
    </w:p>
    <w:p>
      <w:r>
        <w:rPr>
          <w:b/>
          <w:bCs/>
          <w:color w:val="006666"/>
          <w:sz w:val="24"/>
          <w:szCs w:val="24"/>
        </w:rPr>
        <w:t xml:space="preserve">TABLE B – Qualitative Discussion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06666" w:color="auto" w:val="clear"/>
            <w:tcMar>
              <w:top w:type="dxa" w:w="100"/>
              <w:left w:type="dxa" w:w="100"/>
              <w:bottom w:type="dxa" w:w="100"/>
              <w:right w:type="dxa" w:w="100"/>
            </w:tcMar>
          </w:tcPr>
          <w:p>
            <w:pPr>
              <w:jc w:val="center"/>
            </w:pPr>
            <w:r>
              <w:rPr>
                <w:b/>
                <w:bCs/>
                <w:color w:val="FFFFFF"/>
              </w:rPr>
              <w:t xml:space="preserve">Area</w:t>
            </w:r>
          </w:p>
        </w:tc>
        <w:tc>
          <w:tcPr>
            <w:shd w:fill="006666" w:color="auto" w:val="clear"/>
            <w:tcMar>
              <w:top w:type="dxa" w:w="100"/>
              <w:left w:type="dxa" w:w="100"/>
              <w:bottom w:type="dxa" w:w="100"/>
              <w:right w:type="dxa" w:w="100"/>
            </w:tcMar>
          </w:tcPr>
          <w:p>
            <w:pPr>
              <w:jc w:val="center"/>
            </w:pPr>
            <w:r>
              <w:rPr>
                <w:b/>
                <w:bCs/>
                <w:color w:val="FFFFFF"/>
              </w:rPr>
              <w:t xml:space="preserve">Current Week Narrative</w:t>
            </w:r>
          </w:p>
        </w:tc>
        <w:tc>
          <w:tcPr>
            <w:shd w:fill="006666" w:color="auto" w:val="clear"/>
            <w:tcMar>
              <w:top w:type="dxa" w:w="100"/>
              <w:left w:type="dxa" w:w="100"/>
              <w:bottom w:type="dxa" w:w="100"/>
              <w:right w:type="dxa" w:w="100"/>
            </w:tcMar>
          </w:tcPr>
          <w:p>
            <w:pPr>
              <w:jc w:val="center"/>
            </w:pPr>
            <w:r>
              <w:rPr>
                <w:b/>
                <w:bCs/>
                <w:color w:val="FFFFFF"/>
              </w:rPr>
              <w:t xml:space="preserve">Change vs Last Week</w:t>
            </w:r>
          </w:p>
        </w:tc>
      </w:tr>
      <w:tr>
        <w:tc>
          <w:tcPr>
            <w:tcMar>
              <w:top w:type="dxa" w:w="80"/>
              <w:left w:type="dxa" w:w="100"/>
              <w:bottom w:type="dxa" w:w="80"/>
              <w:right w:type="dxa" w:w="100"/>
            </w:tcMar>
          </w:tcPr>
          <w:p>
            <w:r>
              <w:t xml:space="preserve">Engineering</w:t>
            </w:r>
          </w:p>
        </w:tc>
        <w:tc>
          <w:tcPr>
            <w:tcMar>
              <w:top w:type="dxa" w:w="80"/>
              <w:left w:type="dxa" w:w="100"/>
              <w:bottom w:type="dxa" w:w="80"/>
              <w:right w:type="dxa" w:w="100"/>
            </w:tcMar>
          </w:tcPr>
          <w:p>
            <w:r>
              <w:t xml:space="preserve">Crushing hours utilized at 98.68%, downtime 1.54 hrs, forced shutdown 1.30 hrs, mill extraction 94.94%. Bagasse pol and moisture high.</w:t>
            </w:r>
          </w:p>
        </w:tc>
        <w:tc>
          <w:tcPr>
            <w:tcMar>
              <w:top w:type="dxa" w:w="80"/>
              <w:left w:type="dxa" w:w="100"/>
              <w:bottom w:type="dxa" w:w="80"/>
              <w:right w:type="dxa" w:w="100"/>
            </w:tcMar>
          </w:tcPr>
          <w:p>
            <w:r>
              <w:t xml:space="preserve">Downtime slightly improved; no planned stoppage this week.</w:t>
            </w:r>
          </w:p>
        </w:tc>
      </w:tr>
      <w:tr>
        <w:tc>
          <w:tcPr>
            <w:tcMar>
              <w:top w:type="dxa" w:w="80"/>
              <w:left w:type="dxa" w:w="100"/>
              <w:bottom w:type="dxa" w:w="80"/>
              <w:right w:type="dxa" w:w="100"/>
            </w:tcMar>
          </w:tcPr>
          <w:p>
            <w:r>
              <w:t xml:space="preserve">Cane</w:t>
            </w:r>
          </w:p>
        </w:tc>
        <w:tc>
          <w:tcPr>
            <w:tcMar>
              <w:top w:type="dxa" w:w="80"/>
              <w:left w:type="dxa" w:w="100"/>
              <w:bottom w:type="dxa" w:w="80"/>
              <w:right w:type="dxa" w:w="100"/>
            </w:tcMar>
          </w:tcPr>
          <w:p>
            <w:r>
              <w:t xml:space="preserve">Daily indent rate at 1.56 LQ, daily purchased 0.43 LQ. Indent maturity low with flood and truck issues impacting some centers.</w:t>
            </w:r>
          </w:p>
        </w:tc>
        <w:tc>
          <w:tcPr>
            <w:tcMar>
              <w:top w:type="dxa" w:w="80"/>
              <w:left w:type="dxa" w:w="100"/>
              <w:bottom w:type="dxa" w:w="80"/>
              <w:right w:type="dxa" w:w="100"/>
            </w:tcMar>
          </w:tcPr>
          <w:p>
            <w:r>
              <w:t xml:space="preserve">No change explicitly stated; flood impact notable.</w:t>
            </w:r>
          </w:p>
        </w:tc>
      </w:tr>
      <w:tr>
        <w:tc>
          <w:tcPr>
            <w:tcMar>
              <w:top w:type="dxa" w:w="80"/>
              <w:left w:type="dxa" w:w="100"/>
              <w:bottom w:type="dxa" w:w="80"/>
              <w:right w:type="dxa" w:w="100"/>
            </w:tcMar>
          </w:tcPr>
          <w:p>
            <w:r>
              <w:t xml:space="preserve">Production</w:t>
            </w:r>
          </w:p>
        </w:tc>
        <w:tc>
          <w:tcPr>
            <w:tcMar>
              <w:top w:type="dxa" w:w="80"/>
              <w:left w:type="dxa" w:w="100"/>
              <w:bottom w:type="dxa" w:w="80"/>
              <w:right w:type="dxa" w:w="100"/>
            </w:tcMar>
          </w:tcPr>
          <w:p>
            <w:r>
              <w:t xml:space="preserve">Sugar production at 0.12 LQ. Both RS and DS houses running; DS house started 29/10/2025. Mud removal system progress ongoing.</w:t>
            </w:r>
          </w:p>
        </w:tc>
        <w:tc>
          <w:tcPr>
            <w:tcMar>
              <w:top w:type="dxa" w:w="80"/>
              <w:left w:type="dxa" w:w="100"/>
              <w:bottom w:type="dxa" w:w="80"/>
              <w:right w:type="dxa" w:w="100"/>
            </w:tcMar>
          </w:tcPr>
          <w:p>
            <w:r>
              <w:t xml:space="preserve">No change explicitly stated.</w:t>
            </w:r>
          </w:p>
        </w:tc>
      </w:tr>
      <w:tr>
        <w:tc>
          <w:tcPr>
            <w:tcMar>
              <w:top w:type="dxa" w:w="80"/>
              <w:left w:type="dxa" w:w="100"/>
              <w:bottom w:type="dxa" w:w="80"/>
              <w:right w:type="dxa" w:w="100"/>
            </w:tcMar>
          </w:tcPr>
          <w:p>
            <w:r>
              <w:t xml:space="preserve">Power</w:t>
            </w:r>
          </w:p>
        </w:tc>
        <w:tc>
          <w:tcPr>
            <w:tcMar>
              <w:top w:type="dxa" w:w="80"/>
              <w:left w:type="dxa" w:w="100"/>
              <w:bottom w:type="dxa" w:w="80"/>
              <w:right w:type="dxa" w:w="100"/>
            </w:tcMar>
          </w:tcPr>
          <w:p>
            <w:r>
              <w:t xml:space="preserve">Power generation 44.69 LU, export 29.80 LU (66.68%), plant operation stable with boiler and turbines at high capacity utilization.</w:t>
            </w:r>
          </w:p>
        </w:tc>
        <w:tc>
          <w:tcPr>
            <w:tcMar>
              <w:top w:type="dxa" w:w="80"/>
              <w:left w:type="dxa" w:w="100"/>
              <w:bottom w:type="dxa" w:w="80"/>
              <w:right w:type="dxa" w:w="100"/>
            </w:tcMar>
          </w:tcPr>
          <w:p>
            <w:r>
              <w:t xml:space="preserve">Power plant operational with minor 3-hr stoppage due to boiler panel leakage, rectified same day.</w:t>
            </w:r>
          </w:p>
        </w:tc>
      </w:tr>
      <w:tr>
        <w:tc>
          <w:tcPr>
            <w:tcMar>
              <w:top w:type="dxa" w:w="80"/>
              <w:left w:type="dxa" w:w="100"/>
              <w:bottom w:type="dxa" w:w="80"/>
              <w:right w:type="dxa" w:w="100"/>
            </w:tcMar>
          </w:tcPr>
          <w:p>
            <w:r>
              <w:t xml:space="preserve">Distillery</w:t>
            </w:r>
          </w:p>
        </w:tc>
        <w:tc>
          <w:tcPr>
            <w:tcMar>
              <w:top w:type="dxa" w:w="80"/>
              <w:left w:type="dxa" w:w="100"/>
              <w:bottom w:type="dxa" w:w="80"/>
              <w:right w:type="dxa" w:w="100"/>
            </w:tcMar>
          </w:tcPr>
          <w:p>
            <w:r>
              <w:t xml:space="preserve">Ethanol production improved to 1.86 LL with 100.72% capacity utilization. Fermentation and distillation efficiencies stable. Downtime zero.</w:t>
            </w:r>
          </w:p>
        </w:tc>
        <w:tc>
          <w:tcPr>
            <w:tcMar>
              <w:top w:type="dxa" w:w="80"/>
              <w:left w:type="dxa" w:w="100"/>
              <w:bottom w:type="dxa" w:w="80"/>
              <w:right w:type="dxa" w:w="100"/>
            </w:tcMar>
          </w:tcPr>
          <w:p>
            <w:r>
              <w:t xml:space="preserve">Ethanol production and distillery PUF improved from last week.</w:t>
            </w:r>
          </w:p>
        </w:tc>
      </w:tr>
      <w:tr>
        <w:tc>
          <w:tcPr>
            <w:tcMar>
              <w:top w:type="dxa" w:w="80"/>
              <w:left w:type="dxa" w:w="100"/>
              <w:bottom w:type="dxa" w:w="80"/>
              <w:right w:type="dxa" w:w="100"/>
            </w:tcMar>
          </w:tcPr>
          <w:p>
            <w:r>
              <w:t xml:space="preserve">Quality/EHS</w:t>
            </w:r>
          </w:p>
        </w:tc>
        <w:tc>
          <w:tcPr>
            <w:tcMar>
              <w:top w:type="dxa" w:w="80"/>
              <w:left w:type="dxa" w:w="100"/>
              <w:bottom w:type="dxa" w:w="80"/>
              <w:right w:type="dxa" w:w="100"/>
            </w:tcMar>
          </w:tcPr>
          <w:p>
            <w:r>
              <w:t xml:space="preserve">Sugar quality stable with ICUMSA meeting targets. Total losses stable. EHS observations closed timely with commitments to safety.</w:t>
            </w:r>
          </w:p>
        </w:tc>
        <w:tc>
          <w:tcPr>
            <w:tcMar>
              <w:top w:type="dxa" w:w="80"/>
              <w:left w:type="dxa" w:w="100"/>
              <w:bottom w:type="dxa" w:w="80"/>
              <w:right w:type="dxa" w:w="100"/>
            </w:tcMar>
          </w:tcPr>
          <w:p>
            <w:r>
              <w:t xml:space="preserve">No material change vs last week.</w:t>
            </w:r>
          </w:p>
        </w:tc>
      </w:tr>
      <w:tr>
        <w:tc>
          <w:tcPr>
            <w:tcMar>
              <w:top w:type="dxa" w:w="80"/>
              <w:left w:type="dxa" w:w="100"/>
              <w:bottom w:type="dxa" w:w="80"/>
              <w:right w:type="dxa" w:w="100"/>
            </w:tcMar>
          </w:tcPr>
          <w:p>
            <w:r>
              <w:t xml:space="preserve">Capex</w:t>
            </w:r>
          </w:p>
        </w:tc>
        <w:tc>
          <w:tcPr>
            <w:tcMar>
              <w:top w:type="dxa" w:w="80"/>
              <w:left w:type="dxa" w:w="100"/>
              <w:bottom w:type="dxa" w:w="80"/>
              <w:right w:type="dxa" w:w="100"/>
            </w:tcMar>
          </w:tcPr>
          <w:p>
            <w:r>
              <w:t xml:space="preserve">Mill roller shaft machining ongoing; rotary screen refurbishment completed. Various projects delayed or on hold due to logistics and material receipt timing.</w:t>
            </w:r>
          </w:p>
        </w:tc>
        <w:tc>
          <w:tcPr>
            <w:tcMar>
              <w:top w:type="dxa" w:w="80"/>
              <w:left w:type="dxa" w:w="100"/>
              <w:bottom w:type="dxa" w:w="80"/>
              <w:right w:type="dxa" w:w="100"/>
            </w:tcMar>
          </w:tcPr>
          <w:p>
            <w:r>
              <w:t xml:space="preserve">No material change vs last week.</w:t>
            </w:r>
          </w:p>
        </w:tc>
      </w:tr>
    </w:tbl>
    <w:p>
      <w:pPr>
        <w:spacing w:after="300"/>
      </w:pPr>
    </w:p>
    <w:p>
      <w:pPr>
        <w:jc w:val="center"/>
      </w:pPr>
      <w:r>
        <w:rPr>
          <w:color w:val="888888"/>
          <w:sz w:val="18"/>
          <w:szCs w:val="18"/>
        </w:rPr>
        <w:t xml:space="preserve">This review is based exclusively on numbers and narratives disclosed in the weekly PDF slides.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2026-02-05T11:40:30.463Z</dcterms:created>
  <dcterms:modified xsi:type="dcterms:W3CDTF">2026-02-05T11:40:30.463Z</dcterms:modified>
</cp:coreProperties>
</file>

<file path=docProps/custom.xml><?xml version="1.0" encoding="utf-8"?>
<Properties xmlns="http://schemas.openxmlformats.org/officeDocument/2006/custom-properties" xmlns:vt="http://schemas.openxmlformats.org/officeDocument/2006/docPropsVTypes"/>
</file>