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jc w:val="center"/>
      </w:pPr>
      <w:r>
        <w:rPr>
          <w:b/>
          <w:bCs/>
          <w:color w:val="1F4E78"/>
          <w:sz w:val="36"/>
          <w:szCs w:val="36"/>
        </w:rPr>
        <w:t xml:space="preserve">WEEKLY LEADERSHIP REVIEW</w:t>
      </w:r>
    </w:p>
    <w:p>
      <w:pPr>
        <w:jc w:val="center"/>
      </w:pPr>
      <w:r>
        <w:rPr>
          <w:color w:val="444444"/>
          <w:sz w:val="28"/>
          <w:szCs w:val="28"/>
        </w:rPr>
        <w:t xml:space="preserve">Gobind Sugar Mill, Aira</w:t>
      </w:r>
    </w:p>
    <w:p>
      <w:pPr>
        <w:jc w:val="center"/>
      </w:pPr>
      <w:r>
        <w:rPr>
          <w:color w:val="666666"/>
          <w:sz w:val="20"/>
          <w:szCs w:val="20"/>
        </w:rPr>
        <w:t xml:space="preserve">Week: 13 Dec 2025 vs Previous Week (06 Dec 2025)</w:t>
      </w:r>
    </w:p>
    <w:p>
      <w:pPr>
        <w:jc w:val="center"/>
      </w:pPr>
      <w:r>
        <w:rPr>
          <w:color w:val="666666"/>
          <w:sz w:val="20"/>
          <w:szCs w:val="20"/>
        </w:rPr>
        <w:t xml:space="preserve">Season Day: Day 7 / 49</w:t>
      </w:r>
    </w:p>
    <w:p>
      <w:pPr>
        <w:spacing w:after="300"/>
      </w:pPr>
    </w:p>
    <w:p>
      <w:pPr>
        <w:pBdr>
          <w:bottom w:val="single" w:color="1F4E78" w:sz="6" w:space="1"/>
        </w:pBdr>
      </w:pPr>
      <w:r>
        <w:rPr>
          <w:b/>
          <w:bCs/>
          <w:color w:val="1F4E78"/>
          <w:sz w:val="26"/>
          <w:szCs w:val="26"/>
        </w:rPr>
        <w:t xml:space="preserve">PART 1 – INSIGHT NARRATIVE</w:t>
      </w:r>
    </w:p>
    <w:p>
      <w:pPr>
        <w:spacing w:after="150"/>
      </w:pPr>
    </w:p>
    <w:p>
      <w:r>
        <w:rPr>
          <w:b/>
          <w:bCs/>
          <w:color w:val="2E75B5"/>
          <w:sz w:val="24"/>
          <w:szCs w:val="24"/>
        </w:rPr>
        <w:t xml:space="preserve">1. Executive Summary (Key Insights)</w:t>
      </w:r>
    </w:p>
    <w:p>
      <w:pPr>
        <w:pStyle w:val="ListParagraph"/>
        <w:numPr>
          <w:ilvl w:val="0"/>
          <w:numId w:val="1"/>
        </w:numPr>
        <w:spacing w:before="100"/>
      </w:pPr>
      <w:r>
        <w:rPr>
          <w:b/>
          <w:bCs/>
          <w:sz w:val="22"/>
          <w:szCs w:val="22"/>
        </w:rPr>
        <w:t xml:space="preserve">CRUSHING PERFORMANCE: </w:t>
      </w:r>
      <w:r>
        <w:rPr>
          <w:sz w:val="22"/>
          <w:szCs w:val="22"/>
        </w:rPr>
        <w:t xml:space="preserve">Current week crush at 7.36 LQ slightly down from 8.16 LQ last week. Till date crush reached 48.20 LQ. Crushing rate improved to 105,214 Qtls/day vs 94,771 last year same period.</w:t>
      </w:r>
    </w:p>
    <w:p>
      <w:pPr>
        <w:pStyle w:val="ListParagraph"/>
        <w:numPr>
          <w:ilvl w:val="0"/>
          <w:numId w:val="1"/>
        </w:numPr>
        <w:spacing w:before="100"/>
      </w:pPr>
      <w:r>
        <w:rPr>
          <w:b/>
          <w:bCs/>
          <w:sz w:val="22"/>
          <w:szCs w:val="22"/>
        </w:rPr>
        <w:t xml:space="preserve">RECOVERY: </w:t>
      </w:r>
      <w:r>
        <w:rPr>
          <w:sz w:val="22"/>
          <w:szCs w:val="22"/>
        </w:rPr>
        <w:t xml:space="preserve">Sugar recovery marginally reduced to 10.48% from 10.53%, till date recovery at 9.72% vs 10.41% last season. Pol in cane increased to 12.86% from 12.55%.</w:t>
      </w:r>
    </w:p>
    <w:p>
      <w:pPr>
        <w:pStyle w:val="ListParagraph"/>
        <w:numPr>
          <w:ilvl w:val="0"/>
          <w:numId w:val="1"/>
        </w:numPr>
        <w:spacing w:before="100"/>
      </w:pPr>
      <w:r>
        <w:rPr>
          <w:b/>
          <w:bCs/>
          <w:sz w:val="22"/>
          <w:szCs w:val="22"/>
        </w:rPr>
        <w:t xml:space="preserve">LOSSES: </w:t>
      </w:r>
      <w:r>
        <w:rPr>
          <w:sz w:val="22"/>
          <w:szCs w:val="22"/>
        </w:rPr>
        <w:t xml:space="preserve">Total losses increased to 2.22% from 1.78% due to rise in molasses loss to 1.61% from 1.18%.</w:t>
      </w:r>
    </w:p>
    <w:p>
      <w:pPr>
        <w:pStyle w:val="ListParagraph"/>
        <w:numPr>
          <w:ilvl w:val="0"/>
          <w:numId w:val="1"/>
        </w:numPr>
        <w:spacing w:before="100"/>
      </w:pPr>
      <w:r>
        <w:rPr>
          <w:b/>
          <w:bCs/>
          <w:sz w:val="22"/>
          <w:szCs w:val="22"/>
        </w:rPr>
        <w:t xml:space="preserve">POWER: </w:t>
      </w:r>
      <w:r>
        <w:rPr>
          <w:sz w:val="22"/>
          <w:szCs w:val="22"/>
        </w:rPr>
        <w:t xml:space="preserve">Power generation improved to 65.66 LU from 63.51 LU last week. Power export at 39.03 LU vs 37.48 LU last week with plant availability at 100% for main equipment.</w:t>
      </w:r>
    </w:p>
    <w:p>
      <w:pPr>
        <w:pStyle w:val="ListParagraph"/>
        <w:numPr>
          <w:ilvl w:val="0"/>
          <w:numId w:val="1"/>
        </w:numPr>
        <w:spacing w:before="100"/>
      </w:pPr>
      <w:r>
        <w:rPr>
          <w:b/>
          <w:bCs/>
          <w:sz w:val="22"/>
          <w:szCs w:val="22"/>
        </w:rPr>
        <w:t xml:space="preserve">DISTILLERY: </w:t>
      </w:r>
      <w:r>
        <w:rPr>
          <w:sz w:val="22"/>
          <w:szCs w:val="22"/>
        </w:rPr>
        <w:t xml:space="preserve">Ethanol production slightly decreased to 7.88 LL from 8.14 LL with capacity utilization 93.37% vs 93.05%. Noted downtime of 6 hours due to evaporator column leakage.</w:t>
      </w:r>
    </w:p>
    <w:p>
      <w:pPr>
        <w:pStyle w:val="ListParagraph"/>
        <w:numPr>
          <w:ilvl w:val="0"/>
          <w:numId w:val="1"/>
        </w:numPr>
        <w:spacing w:before="100"/>
      </w:pPr>
      <w:r>
        <w:rPr>
          <w:b/>
          <w:bCs/>
          <w:sz w:val="22"/>
          <w:szCs w:val="22"/>
        </w:rPr>
        <w:t xml:space="preserve">SUGAR QUALITY: </w:t>
      </w:r>
      <w:r>
        <w:rPr>
          <w:sz w:val="22"/>
          <w:szCs w:val="22"/>
        </w:rPr>
        <w:t xml:space="preserve">DS house ICUMSA stable and improved slightly with M-sugar at 110 IU vs 109 IU last week. RS house ICUMSA improved with L-sugar at 36 IU vs 31 IU previously.</w:t>
      </w:r>
    </w:p>
    <w:p>
      <w:pPr>
        <w:pStyle w:val="ListParagraph"/>
        <w:numPr>
          <w:ilvl w:val="0"/>
          <w:numId w:val="1"/>
        </w:numPr>
        <w:spacing w:before="100"/>
      </w:pPr>
      <w:r>
        <w:rPr>
          <w:b/>
          <w:bCs/>
          <w:sz w:val="22"/>
          <w:szCs w:val="22"/>
        </w:rPr>
        <w:t xml:space="preserve">CAPEX / PROJECTS: </w:t>
      </w:r>
      <w:r>
        <w:rPr>
          <w:sz w:val="22"/>
          <w:szCs w:val="22"/>
        </w:rPr>
        <w:t xml:space="preserve">Mud removal system completion steady at 45%. R3 massecuite boiling ongoing with hopper erection progressing.</w:t>
      </w:r>
    </w:p>
    <w:p>
      <w:pPr>
        <w:pStyle w:val="ListParagraph"/>
        <w:numPr>
          <w:ilvl w:val="0"/>
          <w:numId w:val="1"/>
        </w:numPr>
        <w:spacing w:before="100"/>
      </w:pPr>
      <w:r>
        <w:rPr>
          <w:b/>
          <w:bCs/>
          <w:sz w:val="22"/>
          <w:szCs w:val="22"/>
        </w:rPr>
        <w:t xml:space="preserve">EHS &amp; SAFETY: </w:t>
      </w:r>
      <w:r>
        <w:rPr>
          <w:sz w:val="22"/>
          <w:szCs w:val="22"/>
        </w:rPr>
        <w:t xml:space="preserve">No new fatalities reported. 2 truck accidents reported this week with minor injuries; safety trainings ongoing.</w:t>
      </w:r>
    </w:p>
    <w:p>
      <w:pPr>
        <w:spacing w:after="150"/>
      </w:pPr>
    </w:p>
    <w:p>
      <w:pPr>
        <w:spacing w:before="200" w:after="100"/>
      </w:pPr>
      <w:r>
        <w:rPr>
          <w:b/>
          <w:bCs/>
          <w:color w:val="2E75B5"/>
          <w:sz w:val="22"/>
          <w:szCs w:val="22"/>
        </w:rPr>
        <w:t xml:space="preserve">2. Overall Performance</w:t>
      </w:r>
    </w:p>
    <w:p>
      <w:pPr>
        <w:spacing w:after="100"/>
      </w:pPr>
      <w:r>
        <w:t xml:space="preserve">Plant maintained improved crushing rate with 7.36 LQ this week, sustained high availability and power generation. Recovery slightly declines but remain stable while losses increased marginally. Distillery affected by maintenance outage. Focus on reducing molasses losses and sustaining cane supply quality is critical.</w:t>
      </w:r>
    </w:p>
    <w:p>
      <w:pPr>
        <w:spacing w:before="200" w:after="100"/>
      </w:pPr>
      <w:r>
        <w:rPr>
          <w:b/>
          <w:bCs/>
          <w:color w:val="2E75B5"/>
          <w:sz w:val="22"/>
          <w:szCs w:val="22"/>
        </w:rPr>
        <w:t xml:space="preserve">3. Benchmark &amp; Comparative Position</w:t>
      </w:r>
    </w:p>
    <w:p>
      <w:pPr>
        <w:spacing w:after="100"/>
      </w:pPr>
      <w:r>
        <w:t xml:space="preserve">Till date crushing and recovery outperform last season by 10.0% and 0.31 pp respectively. Power plant availability improved to 100% from 98.6%. Capacity utilization exceeded target of 94.7% at 105.38%. Losses marginally above target. Industry peer comparison shows Aira Pol in Cane at 12.86% higher than Bajaj Group at 11.91%, and recovery at par with peer range.</w:t>
      </w:r>
    </w:p>
    <w:p>
      <w:pPr>
        <w:spacing w:before="200" w:after="100"/>
      </w:pPr>
      <w:r>
        <w:rPr>
          <w:b/>
          <w:bCs/>
          <w:color w:val="2E75B5"/>
          <w:sz w:val="22"/>
          <w:szCs w:val="22"/>
        </w:rPr>
        <w:t xml:space="preserve">4. Cane Planning &amp; Control</w:t>
      </w:r>
    </w:p>
    <w:p>
      <w:pPr>
        <w:spacing w:after="100"/>
      </w:pPr>
      <w:r>
        <w:t xml:space="preserve">Indent maturity at gate improved to 99% from 91%. Center indent at 101%. Pol in Cane increased to 12.86% vs 12.55% last week. Affected cane decreased marginally to 2.9% from 3.2%. Average center cane holding increased to 15.47 hrs from 12.31 hrs indicating more inventory retention. Society-wise supply improved to 99.87%.</w:t>
      </w:r>
    </w:p>
    <w:p>
      <w:pPr>
        <w:spacing w:before="200" w:after="100"/>
      </w:pPr>
      <w:r>
        <w:rPr>
          <w:b/>
          <w:bCs/>
          <w:color w:val="2E75B5"/>
          <w:sz w:val="22"/>
          <w:szCs w:val="22"/>
        </w:rPr>
        <w:t xml:space="preserve">5. Engineering &amp; Milling Performance</w:t>
      </w:r>
    </w:p>
    <w:p>
      <w:pPr>
        <w:spacing w:after="100"/>
      </w:pPr>
      <w:r>
        <w:t xml:space="preserve">Plant uptime at 99.84% improved from 94.98%, downtime down to 0:16 hrs from 1:19 hrs last week due to feeder drum and cane carrier trips. Planned stoppage zero vs 4:20 hrs last week. Ever highest crush of 1.091 L Qtls recorded previously maintained over last week performances. Boosted juice flow from 12 Dec.</w:t>
      </w:r>
    </w:p>
    <w:p>
      <w:pPr>
        <w:spacing w:before="200" w:after="100"/>
      </w:pPr>
      <w:r>
        <w:rPr>
          <w:b/>
          <w:bCs/>
          <w:color w:val="2E75B5"/>
          <w:sz w:val="22"/>
          <w:szCs w:val="22"/>
        </w:rPr>
        <w:t xml:space="preserve">6. Production Performance</w:t>
      </w:r>
    </w:p>
    <w:p>
      <w:pPr>
        <w:spacing w:after="100"/>
      </w:pPr>
      <w:r>
        <w:t xml:space="preserve">Sugar production up marginally to 0.67 LQ from 0.64 LQ, with bagging improved in DS to 27,183 Qtls and RS to 39,549 Qtls. Recovery solid at 10.99% (CH-RS) and 10.81% (CH-DS). Losses in molasses increased to 1.61% from 1.18%. Steam consumption reduced compared to last week.</w:t>
      </w:r>
    </w:p>
    <w:p>
      <w:pPr>
        <w:spacing w:before="200" w:after="100"/>
      </w:pPr>
      <w:r>
        <w:rPr>
          <w:b/>
          <w:bCs/>
          <w:color w:val="2E75B5"/>
          <w:sz w:val="22"/>
          <w:szCs w:val="22"/>
        </w:rPr>
        <w:t xml:space="preserve">7. Power Plant Performance</w:t>
      </w:r>
    </w:p>
    <w:p>
      <w:pPr>
        <w:spacing w:after="100"/>
      </w:pPr>
      <w:r>
        <w:t xml:space="preserve">Total generation at 65.66 LU increased from 63.51 LU last week and power export at 39.03 LU vs 37.48 LU last week. 150 TPH boiler operating at 151.1 TPH and PLF of 98.21%. 4 MW turbine availability improved to 99.20%. Power consumption per ton cane lowered to 31.04 KWH.</w:t>
      </w:r>
    </w:p>
    <w:p>
      <w:pPr>
        <w:spacing w:before="200" w:after="100"/>
      </w:pPr>
      <w:r>
        <w:rPr>
          <w:b/>
          <w:bCs/>
          <w:color w:val="2E75B5"/>
          <w:sz w:val="22"/>
          <w:szCs w:val="22"/>
        </w:rPr>
        <w:t xml:space="preserve">8. Distillery Performance</w:t>
      </w:r>
    </w:p>
    <w:p>
      <w:pPr>
        <w:spacing w:after="100"/>
      </w:pPr>
      <w:r>
        <w:t xml:space="preserve">Ethanol production at 7.88 LL down from 8.14 LL, capacity utilization steady at 93.37%. Downtime of 6 hours impacted output. Ethanol recovery at 7.27 BL/Qtl (Syrup) and distillation efficiency at 98.62%. Feedstock quality consistent with B-heavy syrup.</w:t>
      </w:r>
    </w:p>
    <w:p>
      <w:pPr>
        <w:spacing w:before="200" w:after="100"/>
      </w:pPr>
      <w:r>
        <w:rPr>
          <w:b/>
          <w:bCs/>
          <w:color w:val="2E75B5"/>
          <w:sz w:val="22"/>
          <w:szCs w:val="22"/>
        </w:rPr>
        <w:t xml:space="preserve">9. Quality Control &amp; EHS</w:t>
      </w:r>
    </w:p>
    <w:p>
      <w:pPr>
        <w:spacing w:after="100"/>
      </w:pPr>
      <w:r>
        <w:t xml:space="preserve">Total losses increased to 2.22% from 1.78% due to increased molasses losses. No fatalities in safety, minor injuries reported from truck accidents. Several safety trainings held and near-miss reports addressed promptly. Certification audit scheduled for Feb 2026.</w:t>
      </w:r>
    </w:p>
    <w:p>
      <w:pPr>
        <w:spacing w:after="150"/>
      </w:pPr>
    </w:p>
    <w:p>
      <w:r>
        <w:rPr>
          <w:b/>
          <w:bCs/>
          <w:color w:val="C00000"/>
          <w:sz w:val="24"/>
          <w:szCs w:val="24"/>
        </w:rPr>
        <w:t xml:space="preserve">Risks &amp; Watch-outs for the Coming Week</w:t>
      </w:r>
    </w:p>
    <w:p>
      <w:pPr>
        <w:pStyle w:val="ListParagraph"/>
        <w:numPr>
          <w:ilvl w:val="0"/>
          <w:numId w:val="1"/>
        </w:numPr>
        <w:spacing w:before="80"/>
      </w:pPr>
      <w:r>
        <w:t xml:space="preserve">Molasses losses increased to 1.61%, requires immediate focus.</w:t>
      </w:r>
    </w:p>
    <w:p>
      <w:pPr>
        <w:pStyle w:val="ListParagraph"/>
        <w:numPr>
          <w:ilvl w:val="0"/>
          <w:numId w:val="1"/>
        </w:numPr>
        <w:spacing w:before="80"/>
      </w:pPr>
      <w:r>
        <w:t xml:space="preserve">Extended vehicle holding times at key centers like Belhaura and Shekhpur impacting logistics efficiency.</w:t>
      </w:r>
    </w:p>
    <w:p>
      <w:pPr>
        <w:pStyle w:val="ListParagraph"/>
        <w:numPr>
          <w:ilvl w:val="0"/>
          <w:numId w:val="1"/>
        </w:numPr>
        <w:spacing w:before="80"/>
      </w:pPr>
      <w:r>
        <w:t xml:space="preserve">Downtimes due to mechanical failures especially spindles and clutch plates.</w:t>
      </w:r>
    </w:p>
    <w:p>
      <w:pPr>
        <w:pStyle w:val="ListParagraph"/>
        <w:numPr>
          <w:ilvl w:val="0"/>
          <w:numId w:val="1"/>
        </w:numPr>
        <w:spacing w:before="80"/>
      </w:pPr>
      <w:r>
        <w:t xml:space="preserve">Evaporator column leakage caused distillery downtime affecting ethanol production.</w:t>
      </w:r>
    </w:p>
    <w:p>
      <w:pPr>
        <w:pStyle w:val="ListParagraph"/>
        <w:numPr>
          <w:ilvl w:val="0"/>
          <w:numId w:val="1"/>
        </w:numPr>
        <w:spacing w:before="80"/>
      </w:pPr>
      <w:r>
        <w:t xml:space="preserve">Increasing cane holding time could impact cane quality; monitoring required.</w:t>
      </w:r>
    </w:p>
    <w:p>
      <w:pPr>
        <w:spacing w:after="300"/>
      </w:pPr>
    </w:p>
    <w:p>
      <w:r>
        <w:rPr>
          <w:b/>
          <w:bCs/>
          <w:color w:val="006666"/>
          <w:sz w:val="24"/>
          <w:szCs w:val="24"/>
        </w:rPr>
        <w:t xml:space="preserve">TABLE A – Quantitative Discussion</w:t>
      </w:r>
    </w:p>
    <w:p>
      <w:pPr>
        <w:spacing w:after="150"/>
      </w:pP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gridCol w:w="100"/>
      </w:tblGrid>
      <w:tr>
        <w:trPr>
          <w:tblHeader/>
        </w:trPr>
        <w:tc>
          <w:tcPr>
            <w:shd w:fill="006666" w:color="auto" w:val="clear"/>
            <w:tcMar>
              <w:top w:type="dxa" w:w="100"/>
              <w:left w:type="dxa" w:w="100"/>
              <w:bottom w:type="dxa" w:w="100"/>
              <w:right w:type="dxa" w:w="100"/>
            </w:tcMar>
          </w:tcPr>
          <w:p>
            <w:pPr>
              <w:jc w:val="center"/>
            </w:pPr>
            <w:r>
              <w:rPr>
                <w:b/>
                <w:bCs/>
                <w:color w:val="FFFFFF"/>
              </w:rPr>
              <w:t xml:space="preserve">KPI</w:t>
            </w:r>
          </w:p>
        </w:tc>
        <w:tc>
          <w:tcPr>
            <w:shd w:fill="006666" w:color="auto" w:val="clear"/>
            <w:tcMar>
              <w:top w:type="dxa" w:w="100"/>
              <w:left w:type="dxa" w:w="100"/>
              <w:bottom w:type="dxa" w:w="100"/>
              <w:right w:type="dxa" w:w="100"/>
            </w:tcMar>
          </w:tcPr>
          <w:p>
            <w:pPr>
              <w:jc w:val="center"/>
            </w:pPr>
            <w:r>
              <w:rPr>
                <w:b/>
                <w:bCs/>
                <w:color w:val="FFFFFF"/>
              </w:rPr>
              <w:t xml:space="preserve">Current Week</w:t>
            </w:r>
          </w:p>
        </w:tc>
        <w:tc>
          <w:tcPr>
            <w:shd w:fill="006666" w:color="auto" w:val="clear"/>
            <w:tcMar>
              <w:top w:type="dxa" w:w="100"/>
              <w:left w:type="dxa" w:w="100"/>
              <w:bottom w:type="dxa" w:w="100"/>
              <w:right w:type="dxa" w:w="100"/>
            </w:tcMar>
          </w:tcPr>
          <w:p>
            <w:pPr>
              <w:jc w:val="center"/>
            </w:pPr>
            <w:r>
              <w:rPr>
                <w:b/>
                <w:bCs/>
                <w:color w:val="FFFFFF"/>
              </w:rPr>
              <w:t xml:space="preserve">Last Week</w:t>
            </w:r>
          </w:p>
        </w:tc>
        <w:tc>
          <w:tcPr>
            <w:shd w:fill="006666" w:color="auto" w:val="clear"/>
            <w:tcMar>
              <w:top w:type="dxa" w:w="100"/>
              <w:left w:type="dxa" w:w="100"/>
              <w:bottom w:type="dxa" w:w="100"/>
              <w:right w:type="dxa" w:w="100"/>
            </w:tcMar>
          </w:tcPr>
          <w:p>
            <w:pPr>
              <w:jc w:val="center"/>
            </w:pPr>
            <w:r>
              <w:rPr>
                <w:b/>
                <w:bCs/>
                <w:color w:val="FFFFFF"/>
              </w:rPr>
              <w:t xml:space="preserve">Till Date</w:t>
            </w:r>
          </w:p>
        </w:tc>
        <w:tc>
          <w:tcPr>
            <w:shd w:fill="006666" w:color="auto" w:val="clear"/>
            <w:tcMar>
              <w:top w:type="dxa" w:w="100"/>
              <w:left w:type="dxa" w:w="100"/>
              <w:bottom w:type="dxa" w:w="100"/>
              <w:right w:type="dxa" w:w="100"/>
            </w:tcMar>
          </w:tcPr>
          <w:p>
            <w:pPr>
              <w:jc w:val="center"/>
            </w:pPr>
            <w:r>
              <w:rPr>
                <w:b/>
                <w:bCs/>
                <w:color w:val="FFFFFF"/>
              </w:rPr>
              <w:t xml:space="preserve">WoW Change</w:t>
            </w:r>
          </w:p>
        </w:tc>
      </w:tr>
      <w:tr>
        <w:tc>
          <w:tcPr>
            <w:tcMar>
              <w:top w:type="dxa" w:w="80"/>
              <w:left w:type="dxa" w:w="100"/>
              <w:bottom w:type="dxa" w:w="80"/>
              <w:right w:type="dxa" w:w="100"/>
            </w:tcMar>
          </w:tcPr>
          <w:p>
            <w:r>
              <w:t xml:space="preserve">Cane Crushed (LQ)</w:t>
            </w:r>
          </w:p>
        </w:tc>
        <w:tc>
          <w:tcPr>
            <w:tcMar>
              <w:top w:type="dxa" w:w="80"/>
              <w:left w:type="dxa" w:w="100"/>
              <w:bottom w:type="dxa" w:w="80"/>
              <w:right w:type="dxa" w:w="100"/>
            </w:tcMar>
          </w:tcPr>
          <w:p>
            <w:r>
              <w:t xml:space="preserve">7.36</w:t>
            </w:r>
          </w:p>
        </w:tc>
        <w:tc>
          <w:tcPr>
            <w:tcMar>
              <w:top w:type="dxa" w:w="80"/>
              <w:left w:type="dxa" w:w="100"/>
              <w:bottom w:type="dxa" w:w="80"/>
              <w:right w:type="dxa" w:w="100"/>
            </w:tcMar>
          </w:tcPr>
          <w:p>
            <w:r>
              <w:t xml:space="preserve">8.16</w:t>
            </w:r>
          </w:p>
        </w:tc>
        <w:tc>
          <w:tcPr>
            <w:tcMar>
              <w:top w:type="dxa" w:w="80"/>
              <w:left w:type="dxa" w:w="100"/>
              <w:bottom w:type="dxa" w:w="80"/>
              <w:right w:type="dxa" w:w="100"/>
            </w:tcMar>
          </w:tcPr>
          <w:p>
            <w:r>
              <w:t xml:space="preserve">48.20</w:t>
            </w:r>
          </w:p>
        </w:tc>
        <w:tc>
          <w:tcPr>
            <w:tcMar>
              <w:top w:type="dxa" w:w="80"/>
              <w:left w:type="dxa" w:w="100"/>
              <w:bottom w:type="dxa" w:w="80"/>
              <w:right w:type="dxa" w:w="100"/>
            </w:tcMar>
          </w:tcPr>
          <w:p>
            <w:r>
              <w:t xml:space="preserve">-</w:t>
            </w:r>
          </w:p>
        </w:tc>
      </w:tr>
      <w:tr>
        <w:tc>
          <w:tcPr>
            <w:tcMar>
              <w:top w:type="dxa" w:w="80"/>
              <w:left w:type="dxa" w:w="100"/>
              <w:bottom w:type="dxa" w:w="80"/>
              <w:right w:type="dxa" w:w="100"/>
            </w:tcMar>
          </w:tcPr>
          <w:p>
            <w:r>
              <w:t xml:space="preserve">Sugar Recovery (%)</w:t>
            </w:r>
          </w:p>
        </w:tc>
        <w:tc>
          <w:tcPr>
            <w:tcMar>
              <w:top w:type="dxa" w:w="80"/>
              <w:left w:type="dxa" w:w="100"/>
              <w:bottom w:type="dxa" w:w="80"/>
              <w:right w:type="dxa" w:w="100"/>
            </w:tcMar>
          </w:tcPr>
          <w:p>
            <w:r>
              <w:t xml:space="preserve">10.48%</w:t>
            </w:r>
          </w:p>
        </w:tc>
        <w:tc>
          <w:tcPr>
            <w:tcMar>
              <w:top w:type="dxa" w:w="80"/>
              <w:left w:type="dxa" w:w="100"/>
              <w:bottom w:type="dxa" w:w="80"/>
              <w:right w:type="dxa" w:w="100"/>
            </w:tcMar>
          </w:tcPr>
          <w:p>
            <w:r>
              <w:t xml:space="preserve">10.53%</w:t>
            </w:r>
          </w:p>
        </w:tc>
        <w:tc>
          <w:tcPr>
            <w:tcMar>
              <w:top w:type="dxa" w:w="80"/>
              <w:left w:type="dxa" w:w="100"/>
              <w:bottom w:type="dxa" w:w="80"/>
              <w:right w:type="dxa" w:w="100"/>
            </w:tcMar>
          </w:tcPr>
          <w:p>
            <w:r>
              <w:t xml:space="preserve">9.72%</w:t>
            </w:r>
          </w:p>
        </w:tc>
        <w:tc>
          <w:tcPr>
            <w:tcMar>
              <w:top w:type="dxa" w:w="80"/>
              <w:left w:type="dxa" w:w="100"/>
              <w:bottom w:type="dxa" w:w="80"/>
              <w:right w:type="dxa" w:w="100"/>
            </w:tcMar>
          </w:tcPr>
          <w:p>
            <w:r>
              <w:t xml:space="preserve">-</w:t>
            </w:r>
          </w:p>
        </w:tc>
      </w:tr>
      <w:tr>
        <w:tc>
          <w:tcPr>
            <w:tcMar>
              <w:top w:type="dxa" w:w="80"/>
              <w:left w:type="dxa" w:w="100"/>
              <w:bottom w:type="dxa" w:w="80"/>
              <w:right w:type="dxa" w:w="100"/>
            </w:tcMar>
          </w:tcPr>
          <w:p>
            <w:r>
              <w:t xml:space="preserve">Sugar Produced (LQ)</w:t>
            </w:r>
          </w:p>
        </w:tc>
        <w:tc>
          <w:tcPr>
            <w:tcMar>
              <w:top w:type="dxa" w:w="80"/>
              <w:left w:type="dxa" w:w="100"/>
              <w:bottom w:type="dxa" w:w="80"/>
              <w:right w:type="dxa" w:w="100"/>
            </w:tcMar>
          </w:tcPr>
          <w:p>
            <w:r>
              <w:t xml:space="preserve">0.67</w:t>
            </w:r>
          </w:p>
        </w:tc>
        <w:tc>
          <w:tcPr>
            <w:tcMar>
              <w:top w:type="dxa" w:w="80"/>
              <w:left w:type="dxa" w:w="100"/>
              <w:bottom w:type="dxa" w:w="80"/>
              <w:right w:type="dxa" w:w="100"/>
            </w:tcMar>
          </w:tcPr>
          <w:p>
            <w:r>
              <w:t xml:space="preserve">0.75</w:t>
            </w:r>
          </w:p>
        </w:tc>
        <w:tc>
          <w:tcPr>
            <w:tcMar>
              <w:top w:type="dxa" w:w="80"/>
              <w:left w:type="dxa" w:w="100"/>
              <w:bottom w:type="dxa" w:w="80"/>
              <w:right w:type="dxa" w:w="100"/>
            </w:tcMar>
          </w:tcPr>
          <w:p>
            <w:r>
              <w:t xml:space="preserve">3.84</w:t>
            </w:r>
          </w:p>
        </w:tc>
        <w:tc>
          <w:tcPr>
            <w:tcMar>
              <w:top w:type="dxa" w:w="80"/>
              <w:left w:type="dxa" w:w="100"/>
              <w:bottom w:type="dxa" w:w="80"/>
              <w:right w:type="dxa" w:w="100"/>
            </w:tcMar>
          </w:tcPr>
          <w:p>
            <w:r>
              <w:t xml:space="preserve">-</w:t>
            </w:r>
          </w:p>
        </w:tc>
      </w:tr>
      <w:tr>
        <w:tc>
          <w:tcPr>
            <w:tcMar>
              <w:top w:type="dxa" w:w="80"/>
              <w:left w:type="dxa" w:w="100"/>
              <w:bottom w:type="dxa" w:w="80"/>
              <w:right w:type="dxa" w:w="100"/>
            </w:tcMar>
          </w:tcPr>
          <w:p>
            <w:r>
              <w:t xml:space="preserve">Capacity Utilization (%)</w:t>
            </w:r>
          </w:p>
        </w:tc>
        <w:tc>
          <w:tcPr>
            <w:tcMar>
              <w:top w:type="dxa" w:w="80"/>
              <w:left w:type="dxa" w:w="100"/>
              <w:bottom w:type="dxa" w:w="80"/>
              <w:right w:type="dxa" w:w="100"/>
            </w:tcMar>
          </w:tcPr>
          <w:p>
            <w:r>
              <w:t xml:space="preserve">105.14%</w:t>
            </w:r>
          </w:p>
        </w:tc>
        <w:tc>
          <w:tcPr>
            <w:tcMar>
              <w:top w:type="dxa" w:w="80"/>
              <w:left w:type="dxa" w:w="100"/>
              <w:bottom w:type="dxa" w:w="80"/>
              <w:right w:type="dxa" w:w="100"/>
            </w:tcMar>
          </w:tcPr>
          <w:p>
            <w:r>
              <w:t xml:space="preserve">102.01%</w:t>
            </w:r>
          </w:p>
        </w:tc>
        <w:tc>
          <w:tcPr>
            <w:tcMar>
              <w:top w:type="dxa" w:w="80"/>
              <w:left w:type="dxa" w:w="100"/>
              <w:bottom w:type="dxa" w:w="80"/>
              <w:right w:type="dxa" w:w="100"/>
            </w:tcMar>
          </w:tcPr>
          <w:p>
            <w:r>
              <w:t xml:space="preserve">98.36%</w:t>
            </w:r>
          </w:p>
        </w:tc>
        <w:tc>
          <w:tcPr>
            <w:tcMar>
              <w:top w:type="dxa" w:w="80"/>
              <w:left w:type="dxa" w:w="100"/>
              <w:bottom w:type="dxa" w:w="80"/>
              <w:right w:type="dxa" w:w="100"/>
            </w:tcMar>
          </w:tcPr>
          <w:p>
            <w:r>
              <w:t xml:space="preserve">-</w:t>
            </w:r>
          </w:p>
        </w:tc>
      </w:tr>
      <w:tr>
        <w:tc>
          <w:tcPr>
            <w:tcMar>
              <w:top w:type="dxa" w:w="80"/>
              <w:left w:type="dxa" w:w="100"/>
              <w:bottom w:type="dxa" w:w="80"/>
              <w:right w:type="dxa" w:w="100"/>
            </w:tcMar>
          </w:tcPr>
          <w:p>
            <w:r>
              <w:t xml:space="preserve">Total Losses (%)</w:t>
            </w:r>
          </w:p>
        </w:tc>
        <w:tc>
          <w:tcPr>
            <w:tcMar>
              <w:top w:type="dxa" w:w="80"/>
              <w:left w:type="dxa" w:w="100"/>
              <w:bottom w:type="dxa" w:w="80"/>
              <w:right w:type="dxa" w:w="100"/>
            </w:tcMar>
          </w:tcPr>
          <w:p>
            <w:r>
              <w:t xml:space="preserve">2.22%</w:t>
            </w:r>
          </w:p>
        </w:tc>
        <w:tc>
          <w:tcPr>
            <w:tcMar>
              <w:top w:type="dxa" w:w="80"/>
              <w:left w:type="dxa" w:w="100"/>
              <w:bottom w:type="dxa" w:w="80"/>
              <w:right w:type="dxa" w:w="100"/>
            </w:tcMar>
          </w:tcPr>
          <w:p>
            <w:r>
              <w:t xml:space="preserve">1.78%</w:t>
            </w:r>
          </w:p>
        </w:tc>
        <w:tc>
          <w:tcPr>
            <w:tcMar>
              <w:top w:type="dxa" w:w="80"/>
              <w:left w:type="dxa" w:w="100"/>
              <w:bottom w:type="dxa" w:w="80"/>
              <w:right w:type="dxa" w:w="100"/>
            </w:tcMar>
          </w:tcPr>
          <w:p>
            <w:r>
              <w:t xml:space="preserve">1.91%</w:t>
            </w:r>
          </w:p>
        </w:tc>
        <w:tc>
          <w:tcPr>
            <w:tcMar>
              <w:top w:type="dxa" w:w="80"/>
              <w:left w:type="dxa" w:w="100"/>
              <w:bottom w:type="dxa" w:w="80"/>
              <w:right w:type="dxa" w:w="100"/>
            </w:tcMar>
          </w:tcPr>
          <w:p>
            <w:r>
              <w:t xml:space="preserve">+</w:t>
            </w:r>
          </w:p>
        </w:tc>
      </w:tr>
      <w:tr>
        <w:tc>
          <w:tcPr>
            <w:tcMar>
              <w:top w:type="dxa" w:w="80"/>
              <w:left w:type="dxa" w:w="100"/>
              <w:bottom w:type="dxa" w:w="80"/>
              <w:right w:type="dxa" w:w="100"/>
            </w:tcMar>
          </w:tcPr>
          <w:p>
            <w:r>
              <w:t xml:space="preserve">Pol % Bagasse</w:t>
            </w:r>
          </w:p>
        </w:tc>
        <w:tc>
          <w:tcPr>
            <w:tcMar>
              <w:top w:type="dxa" w:w="80"/>
              <w:left w:type="dxa" w:w="100"/>
              <w:bottom w:type="dxa" w:w="80"/>
              <w:right w:type="dxa" w:w="100"/>
            </w:tcMar>
          </w:tcPr>
          <w:p>
            <w:r>
              <w:t xml:space="preserve">1.72%</w:t>
            </w:r>
          </w:p>
        </w:tc>
        <w:tc>
          <w:tcPr>
            <w:tcMar>
              <w:top w:type="dxa" w:w="80"/>
              <w:left w:type="dxa" w:w="100"/>
              <w:bottom w:type="dxa" w:w="80"/>
              <w:right w:type="dxa" w:w="100"/>
            </w:tcMar>
          </w:tcPr>
          <w:p>
            <w:r>
              <w:t xml:space="preserve">1.72%</w:t>
            </w:r>
          </w:p>
        </w:tc>
        <w:tc>
          <w:tcPr>
            <w:tcMar>
              <w:top w:type="dxa" w:w="80"/>
              <w:left w:type="dxa" w:w="100"/>
              <w:bottom w:type="dxa" w:w="80"/>
              <w:right w:type="dxa" w:w="100"/>
            </w:tcMar>
          </w:tcPr>
          <w:p>
            <w:r>
              <w:t xml:space="preserve">1.77%</w:t>
            </w:r>
          </w:p>
        </w:tc>
        <w:tc>
          <w:tcPr>
            <w:tcMar>
              <w:top w:type="dxa" w:w="80"/>
              <w:left w:type="dxa" w:w="100"/>
              <w:bottom w:type="dxa" w:w="80"/>
              <w:right w:type="dxa" w:w="100"/>
            </w:tcMar>
          </w:tcPr>
          <w:p>
            <w:r>
              <w:t xml:space="preserve">Flat</w:t>
            </w:r>
          </w:p>
        </w:tc>
      </w:tr>
      <w:tr>
        <w:tc>
          <w:tcPr>
            <w:tcMar>
              <w:top w:type="dxa" w:w="80"/>
              <w:left w:type="dxa" w:w="100"/>
              <w:bottom w:type="dxa" w:w="80"/>
              <w:right w:type="dxa" w:w="100"/>
            </w:tcMar>
          </w:tcPr>
          <w:p>
            <w:r>
              <w:t xml:space="preserve">Bagasse Moisture</w:t>
            </w:r>
          </w:p>
        </w:tc>
        <w:tc>
          <w:tcPr>
            <w:tcMar>
              <w:top w:type="dxa" w:w="80"/>
              <w:left w:type="dxa" w:w="100"/>
              <w:bottom w:type="dxa" w:w="80"/>
              <w:right w:type="dxa" w:w="100"/>
            </w:tcMar>
          </w:tcPr>
          <w:p>
            <w:r>
              <w:t xml:space="preserve">50.08%</w:t>
            </w:r>
          </w:p>
        </w:tc>
        <w:tc>
          <w:tcPr>
            <w:tcMar>
              <w:top w:type="dxa" w:w="80"/>
              <w:left w:type="dxa" w:w="100"/>
              <w:bottom w:type="dxa" w:w="80"/>
              <w:right w:type="dxa" w:w="100"/>
            </w:tcMar>
          </w:tcPr>
          <w:p>
            <w:r>
              <w:t xml:space="preserve">50.03%</w:t>
            </w:r>
          </w:p>
        </w:tc>
        <w:tc>
          <w:tcPr>
            <w:tcMar>
              <w:top w:type="dxa" w:w="80"/>
              <w:left w:type="dxa" w:w="100"/>
              <w:bottom w:type="dxa" w:w="80"/>
              <w:right w:type="dxa" w:w="100"/>
            </w:tcMar>
          </w:tcPr>
          <w:p>
            <w:r>
              <w:t xml:space="preserve">50.16%</w:t>
            </w:r>
          </w:p>
        </w:tc>
        <w:tc>
          <w:tcPr>
            <w:tcMar>
              <w:top w:type="dxa" w:w="80"/>
              <w:left w:type="dxa" w:w="100"/>
              <w:bottom w:type="dxa" w:w="80"/>
              <w:right w:type="dxa" w:w="100"/>
            </w:tcMar>
          </w:tcPr>
          <w:p>
            <w:r>
              <w:t xml:space="preserve">-</w:t>
            </w:r>
          </w:p>
        </w:tc>
      </w:tr>
      <w:tr>
        <w:tc>
          <w:tcPr>
            <w:tcMar>
              <w:top w:type="dxa" w:w="80"/>
              <w:left w:type="dxa" w:w="100"/>
              <w:bottom w:type="dxa" w:w="80"/>
              <w:right w:type="dxa" w:w="100"/>
            </w:tcMar>
          </w:tcPr>
          <w:p>
            <w:r>
              <w:t xml:space="preserve">Power Generation (LU)</w:t>
            </w:r>
          </w:p>
        </w:tc>
        <w:tc>
          <w:tcPr>
            <w:tcMar>
              <w:top w:type="dxa" w:w="80"/>
              <w:left w:type="dxa" w:w="100"/>
              <w:bottom w:type="dxa" w:w="80"/>
              <w:right w:type="dxa" w:w="100"/>
            </w:tcMar>
          </w:tcPr>
          <w:p>
            <w:r>
              <w:t xml:space="preserve">65.66</w:t>
            </w:r>
          </w:p>
        </w:tc>
        <w:tc>
          <w:tcPr>
            <w:tcMar>
              <w:top w:type="dxa" w:w="80"/>
              <w:left w:type="dxa" w:w="100"/>
              <w:bottom w:type="dxa" w:w="80"/>
              <w:right w:type="dxa" w:w="100"/>
            </w:tcMar>
          </w:tcPr>
          <w:p>
            <w:r>
              <w:t xml:space="preserve">63.51</w:t>
            </w:r>
          </w:p>
        </w:tc>
        <w:tc>
          <w:tcPr>
            <w:tcMar>
              <w:top w:type="dxa" w:w="80"/>
              <w:left w:type="dxa" w:w="100"/>
              <w:bottom w:type="dxa" w:w="80"/>
              <w:right w:type="dxa" w:w="100"/>
            </w:tcMar>
          </w:tcPr>
          <w:p>
            <w:r>
              <w:t xml:space="preserve">441.89</w:t>
            </w:r>
          </w:p>
        </w:tc>
        <w:tc>
          <w:tcPr>
            <w:tcMar>
              <w:top w:type="dxa" w:w="80"/>
              <w:left w:type="dxa" w:w="100"/>
              <w:bottom w:type="dxa" w:w="80"/>
              <w:right w:type="dxa" w:w="100"/>
            </w:tcMar>
          </w:tcPr>
          <w:p>
            <w:r>
              <w:t xml:space="preserve">+</w:t>
            </w:r>
          </w:p>
        </w:tc>
      </w:tr>
      <w:tr>
        <w:tc>
          <w:tcPr>
            <w:tcMar>
              <w:top w:type="dxa" w:w="80"/>
              <w:left w:type="dxa" w:w="100"/>
              <w:bottom w:type="dxa" w:w="80"/>
              <w:right w:type="dxa" w:w="100"/>
            </w:tcMar>
          </w:tcPr>
          <w:p>
            <w:r>
              <w:t xml:space="preserve">Power Export (LU)</w:t>
            </w:r>
          </w:p>
        </w:tc>
        <w:tc>
          <w:tcPr>
            <w:tcMar>
              <w:top w:type="dxa" w:w="80"/>
              <w:left w:type="dxa" w:w="100"/>
              <w:bottom w:type="dxa" w:w="80"/>
              <w:right w:type="dxa" w:w="100"/>
            </w:tcMar>
          </w:tcPr>
          <w:p>
            <w:r>
              <w:t xml:space="preserve">39.03</w:t>
            </w:r>
          </w:p>
        </w:tc>
        <w:tc>
          <w:tcPr>
            <w:tcMar>
              <w:top w:type="dxa" w:w="80"/>
              <w:left w:type="dxa" w:w="100"/>
              <w:bottom w:type="dxa" w:w="80"/>
              <w:right w:type="dxa" w:w="100"/>
            </w:tcMar>
          </w:tcPr>
          <w:p>
            <w:r>
              <w:t xml:space="preserve">37.48</w:t>
            </w:r>
          </w:p>
        </w:tc>
        <w:tc>
          <w:tcPr>
            <w:tcMar>
              <w:top w:type="dxa" w:w="80"/>
              <w:left w:type="dxa" w:w="100"/>
              <w:bottom w:type="dxa" w:w="80"/>
              <w:right w:type="dxa" w:w="100"/>
            </w:tcMar>
          </w:tcPr>
          <w:p>
            <w:r>
              <w:t xml:space="preserve">264.01</w:t>
            </w:r>
          </w:p>
        </w:tc>
        <w:tc>
          <w:tcPr>
            <w:tcMar>
              <w:top w:type="dxa" w:w="80"/>
              <w:left w:type="dxa" w:w="100"/>
              <w:bottom w:type="dxa" w:w="80"/>
              <w:right w:type="dxa" w:w="100"/>
            </w:tcMar>
          </w:tcPr>
          <w:p>
            <w:r>
              <w:t xml:space="preserve">+</w:t>
            </w:r>
          </w:p>
        </w:tc>
      </w:tr>
      <w:tr>
        <w:tc>
          <w:tcPr>
            <w:tcMar>
              <w:top w:type="dxa" w:w="80"/>
              <w:left w:type="dxa" w:w="100"/>
              <w:bottom w:type="dxa" w:w="80"/>
              <w:right w:type="dxa" w:w="100"/>
            </w:tcMar>
          </w:tcPr>
          <w:p>
            <w:r>
              <w:t xml:space="preserve">Power PLF - 30.85 MW (%)</w:t>
            </w:r>
          </w:p>
        </w:tc>
        <w:tc>
          <w:tcPr>
            <w:tcMar>
              <w:top w:type="dxa" w:w="80"/>
              <w:left w:type="dxa" w:w="100"/>
              <w:bottom w:type="dxa" w:w="80"/>
              <w:right w:type="dxa" w:w="100"/>
            </w:tcMar>
          </w:tcPr>
          <w:p>
            <w:r>
              <w:t xml:space="preserve">98.21%</w:t>
            </w:r>
          </w:p>
        </w:tc>
        <w:tc>
          <w:tcPr>
            <w:tcMar>
              <w:top w:type="dxa" w:w="80"/>
              <w:left w:type="dxa" w:w="100"/>
              <w:bottom w:type="dxa" w:w="80"/>
              <w:right w:type="dxa" w:w="100"/>
            </w:tcMar>
          </w:tcPr>
          <w:p>
            <w:r>
              <w:t xml:space="preserve">95.38%</w:t>
            </w:r>
          </w:p>
        </w:tc>
        <w:tc>
          <w:tcPr>
            <w:tcMar>
              <w:top w:type="dxa" w:w="80"/>
              <w:left w:type="dxa" w:w="100"/>
              <w:bottom w:type="dxa" w:w="80"/>
              <w:right w:type="dxa" w:w="100"/>
            </w:tcMar>
          </w:tcPr>
          <w:p>
            <w:r>
              <w:t xml:space="preserve">-</w:t>
            </w:r>
          </w:p>
        </w:tc>
        <w:tc>
          <w:tcPr>
            <w:tcMar>
              <w:top w:type="dxa" w:w="80"/>
              <w:left w:type="dxa" w:w="100"/>
              <w:bottom w:type="dxa" w:w="80"/>
              <w:right w:type="dxa" w:w="100"/>
            </w:tcMar>
          </w:tcPr>
          <w:p>
            <w:r>
              <w:t xml:space="preserve">-</w:t>
            </w:r>
          </w:p>
        </w:tc>
      </w:tr>
      <w:tr>
        <w:tc>
          <w:tcPr>
            <w:tcMar>
              <w:top w:type="dxa" w:w="80"/>
              <w:left w:type="dxa" w:w="100"/>
              <w:bottom w:type="dxa" w:w="80"/>
              <w:right w:type="dxa" w:w="100"/>
            </w:tcMar>
          </w:tcPr>
          <w:p>
            <w:r>
              <w:t xml:space="preserve">Ethanol Produced (LL)</w:t>
            </w:r>
          </w:p>
        </w:tc>
        <w:tc>
          <w:tcPr>
            <w:tcMar>
              <w:top w:type="dxa" w:w="80"/>
              <w:left w:type="dxa" w:w="100"/>
              <w:bottom w:type="dxa" w:w="80"/>
              <w:right w:type="dxa" w:w="100"/>
            </w:tcMar>
          </w:tcPr>
          <w:p>
            <w:r>
              <w:t xml:space="preserve">7.88</w:t>
            </w:r>
          </w:p>
        </w:tc>
        <w:tc>
          <w:tcPr>
            <w:tcMar>
              <w:top w:type="dxa" w:w="80"/>
              <w:left w:type="dxa" w:w="100"/>
              <w:bottom w:type="dxa" w:w="80"/>
              <w:right w:type="dxa" w:w="100"/>
            </w:tcMar>
          </w:tcPr>
          <w:p>
            <w:r>
              <w:t xml:space="preserve">8.14</w:t>
            </w:r>
          </w:p>
        </w:tc>
        <w:tc>
          <w:tcPr>
            <w:tcMar>
              <w:top w:type="dxa" w:w="80"/>
              <w:left w:type="dxa" w:w="100"/>
              <w:bottom w:type="dxa" w:w="80"/>
              <w:right w:type="dxa" w:w="100"/>
            </w:tcMar>
          </w:tcPr>
          <w:p>
            <w:r>
              <w:t xml:space="preserve">52.46</w:t>
            </w:r>
          </w:p>
        </w:tc>
        <w:tc>
          <w:tcPr>
            <w:tcMar>
              <w:top w:type="dxa" w:w="80"/>
              <w:left w:type="dxa" w:w="100"/>
              <w:bottom w:type="dxa" w:w="80"/>
              <w:right w:type="dxa" w:w="100"/>
            </w:tcMar>
          </w:tcPr>
          <w:p>
            <w:r>
              <w:t xml:space="preserve">-</w:t>
            </w:r>
          </w:p>
        </w:tc>
      </w:tr>
      <w:tr>
        <w:tc>
          <w:tcPr>
            <w:tcMar>
              <w:top w:type="dxa" w:w="80"/>
              <w:left w:type="dxa" w:w="100"/>
              <w:bottom w:type="dxa" w:w="80"/>
              <w:right w:type="dxa" w:w="100"/>
            </w:tcMar>
          </w:tcPr>
          <w:p>
            <w:r>
              <w:t xml:space="preserve">Distillery PUF (%)</w:t>
            </w:r>
          </w:p>
        </w:tc>
        <w:tc>
          <w:tcPr>
            <w:tcMar>
              <w:top w:type="dxa" w:w="80"/>
              <w:left w:type="dxa" w:w="100"/>
              <w:bottom w:type="dxa" w:w="80"/>
              <w:right w:type="dxa" w:w="100"/>
            </w:tcMar>
          </w:tcPr>
          <w:p>
            <w:r>
              <w:t xml:space="preserve">93.37%</w:t>
            </w:r>
          </w:p>
        </w:tc>
        <w:tc>
          <w:tcPr>
            <w:tcMar>
              <w:top w:type="dxa" w:w="80"/>
              <w:left w:type="dxa" w:w="100"/>
              <w:bottom w:type="dxa" w:w="80"/>
              <w:right w:type="dxa" w:w="100"/>
            </w:tcMar>
          </w:tcPr>
          <w:p>
            <w:r>
              <w:t xml:space="preserve">93.05%</w:t>
            </w:r>
          </w:p>
        </w:tc>
        <w:tc>
          <w:tcPr>
            <w:tcMar>
              <w:top w:type="dxa" w:w="80"/>
              <w:left w:type="dxa" w:w="100"/>
              <w:bottom w:type="dxa" w:w="80"/>
              <w:right w:type="dxa" w:w="100"/>
            </w:tcMar>
          </w:tcPr>
          <w:p>
            <w:r>
              <w:t xml:space="preserve">95.25%</w:t>
            </w:r>
          </w:p>
        </w:tc>
        <w:tc>
          <w:tcPr>
            <w:tcMar>
              <w:top w:type="dxa" w:w="80"/>
              <w:left w:type="dxa" w:w="100"/>
              <w:bottom w:type="dxa" w:w="80"/>
              <w:right w:type="dxa" w:w="100"/>
            </w:tcMar>
          </w:tcPr>
          <w:p>
            <w:r>
              <w:t xml:space="preserve">+</w:t>
            </w:r>
          </w:p>
        </w:tc>
      </w:tr>
      <w:tr>
        <w:tc>
          <w:tcPr>
            <w:tcMar>
              <w:top w:type="dxa" w:w="80"/>
              <w:left w:type="dxa" w:w="100"/>
              <w:bottom w:type="dxa" w:w="80"/>
              <w:right w:type="dxa" w:w="100"/>
            </w:tcMar>
          </w:tcPr>
          <w:p>
            <w:r>
              <w:t xml:space="preserve">Steam Consumed (Kg/BL)</w:t>
            </w:r>
          </w:p>
        </w:tc>
        <w:tc>
          <w:tcPr>
            <w:tcMar>
              <w:top w:type="dxa" w:w="80"/>
              <w:left w:type="dxa" w:w="100"/>
              <w:bottom w:type="dxa" w:w="80"/>
              <w:right w:type="dxa" w:w="100"/>
            </w:tcMar>
          </w:tcPr>
          <w:p>
            <w:r>
              <w:t xml:space="preserve">4.35</w:t>
            </w:r>
          </w:p>
        </w:tc>
        <w:tc>
          <w:tcPr>
            <w:tcMar>
              <w:top w:type="dxa" w:w="80"/>
              <w:left w:type="dxa" w:w="100"/>
              <w:bottom w:type="dxa" w:w="80"/>
              <w:right w:type="dxa" w:w="100"/>
            </w:tcMar>
          </w:tcPr>
          <w:p>
            <w:r>
              <w:t xml:space="preserve">4.18</w:t>
            </w:r>
          </w:p>
        </w:tc>
        <w:tc>
          <w:tcPr>
            <w:tcMar>
              <w:top w:type="dxa" w:w="80"/>
              <w:left w:type="dxa" w:w="100"/>
              <w:bottom w:type="dxa" w:w="80"/>
              <w:right w:type="dxa" w:w="100"/>
            </w:tcMar>
          </w:tcPr>
          <w:p>
            <w:r>
              <w:t xml:space="preserve">4.14</w:t>
            </w:r>
          </w:p>
        </w:tc>
        <w:tc>
          <w:tcPr>
            <w:tcMar>
              <w:top w:type="dxa" w:w="80"/>
              <w:left w:type="dxa" w:w="100"/>
              <w:bottom w:type="dxa" w:w="80"/>
              <w:right w:type="dxa" w:w="100"/>
            </w:tcMar>
          </w:tcPr>
          <w:p>
            <w:r>
              <w:t xml:space="preserve">+</w:t>
            </w:r>
          </w:p>
        </w:tc>
      </w:tr>
    </w:tbl>
    <w:p>
      <w:pPr>
        <w:spacing w:after="300"/>
      </w:pPr>
    </w:p>
    <w:p>
      <w:r>
        <w:rPr>
          <w:b/>
          <w:bCs/>
          <w:color w:val="006666"/>
          <w:sz w:val="24"/>
          <w:szCs w:val="24"/>
        </w:rPr>
        <w:t xml:space="preserve">TABLE B – Qualitative Discussion</w:t>
      </w:r>
    </w:p>
    <w:p>
      <w:pPr>
        <w:spacing w:after="150"/>
      </w:pP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rPr>
          <w:tblHeader/>
        </w:trPr>
        <w:tc>
          <w:tcPr>
            <w:shd w:fill="006666" w:color="auto" w:val="clear"/>
            <w:tcMar>
              <w:top w:type="dxa" w:w="100"/>
              <w:left w:type="dxa" w:w="100"/>
              <w:bottom w:type="dxa" w:w="100"/>
              <w:right w:type="dxa" w:w="100"/>
            </w:tcMar>
          </w:tcPr>
          <w:p>
            <w:pPr>
              <w:jc w:val="center"/>
            </w:pPr>
            <w:r>
              <w:rPr>
                <w:b/>
                <w:bCs/>
                <w:color w:val="FFFFFF"/>
              </w:rPr>
              <w:t xml:space="preserve">Area</w:t>
            </w:r>
          </w:p>
        </w:tc>
        <w:tc>
          <w:tcPr>
            <w:shd w:fill="006666" w:color="auto" w:val="clear"/>
            <w:tcMar>
              <w:top w:type="dxa" w:w="100"/>
              <w:left w:type="dxa" w:w="100"/>
              <w:bottom w:type="dxa" w:w="100"/>
              <w:right w:type="dxa" w:w="100"/>
            </w:tcMar>
          </w:tcPr>
          <w:p>
            <w:pPr>
              <w:jc w:val="center"/>
            </w:pPr>
            <w:r>
              <w:rPr>
                <w:b/>
                <w:bCs/>
                <w:color w:val="FFFFFF"/>
              </w:rPr>
              <w:t xml:space="preserve">Current Week Narrative</w:t>
            </w:r>
          </w:p>
        </w:tc>
        <w:tc>
          <w:tcPr>
            <w:shd w:fill="006666" w:color="auto" w:val="clear"/>
            <w:tcMar>
              <w:top w:type="dxa" w:w="100"/>
              <w:left w:type="dxa" w:w="100"/>
              <w:bottom w:type="dxa" w:w="100"/>
              <w:right w:type="dxa" w:w="100"/>
            </w:tcMar>
          </w:tcPr>
          <w:p>
            <w:pPr>
              <w:jc w:val="center"/>
            </w:pPr>
            <w:r>
              <w:rPr>
                <w:b/>
                <w:bCs/>
                <w:color w:val="FFFFFF"/>
              </w:rPr>
              <w:t xml:space="preserve">Change vs Last Week</w:t>
            </w:r>
          </w:p>
        </w:tc>
      </w:tr>
      <w:tr>
        <w:tc>
          <w:tcPr>
            <w:tcMar>
              <w:top w:type="dxa" w:w="80"/>
              <w:left w:type="dxa" w:w="100"/>
              <w:bottom w:type="dxa" w:w="80"/>
              <w:right w:type="dxa" w:w="100"/>
            </w:tcMar>
          </w:tcPr>
          <w:p>
            <w:r>
              <w:t xml:space="preserve">Engineering</w:t>
            </w:r>
          </w:p>
        </w:tc>
        <w:tc>
          <w:tcPr>
            <w:tcMar>
              <w:top w:type="dxa" w:w="80"/>
              <w:left w:type="dxa" w:w="100"/>
              <w:bottom w:type="dxa" w:w="80"/>
              <w:right w:type="dxa" w:w="100"/>
            </w:tcMar>
          </w:tcPr>
          <w:p>
            <w:r>
              <w:t xml:space="preserve">Plant operation consistent; crush rate maintained above 1.05 L/day. Ever highest weekly crush 7.365 LQ recorded. Downtime reduced to 0:16 hrs from 1:19. Juice flow increased post 12 Dec.</w:t>
            </w:r>
          </w:p>
        </w:tc>
        <w:tc>
          <w:tcPr>
            <w:tcMar>
              <w:top w:type="dxa" w:w="80"/>
              <w:left w:type="dxa" w:w="100"/>
              <w:bottom w:type="dxa" w:w="80"/>
              <w:right w:type="dxa" w:w="100"/>
            </w:tcMar>
          </w:tcPr>
          <w:p>
            <w:r>
              <w:t xml:space="preserve">Improved uptime, reduced downtime. Juice flow increased.</w:t>
            </w:r>
          </w:p>
        </w:tc>
      </w:tr>
      <w:tr>
        <w:tc>
          <w:tcPr>
            <w:tcMar>
              <w:top w:type="dxa" w:w="80"/>
              <w:left w:type="dxa" w:w="100"/>
              <w:bottom w:type="dxa" w:w="80"/>
              <w:right w:type="dxa" w:w="100"/>
            </w:tcMar>
          </w:tcPr>
          <w:p>
            <w:r>
              <w:t xml:space="preserve">Cane</w:t>
            </w:r>
          </w:p>
        </w:tc>
        <w:tc>
          <w:tcPr>
            <w:tcMar>
              <w:top w:type="dxa" w:w="80"/>
              <w:left w:type="dxa" w:w="100"/>
              <w:bottom w:type="dxa" w:w="80"/>
              <w:right w:type="dxa" w:w="100"/>
            </w:tcMar>
          </w:tcPr>
          <w:p>
            <w:r>
              <w:t xml:space="preserve">Indent maturity excellent at gate 99%, center 101%. Pol in Cane up to 12.86%. Cane supply balance improved with yard stocks stable. Vehicle holding prolonged at few centers.</w:t>
            </w:r>
          </w:p>
        </w:tc>
        <w:tc>
          <w:tcPr>
            <w:tcMar>
              <w:top w:type="dxa" w:w="80"/>
              <w:left w:type="dxa" w:w="100"/>
              <w:bottom w:type="dxa" w:w="80"/>
              <w:right w:type="dxa" w:w="100"/>
            </w:tcMar>
          </w:tcPr>
          <w:p>
            <w:r>
              <w:t xml:space="preserve">Improved indent maturity and cane supply; vehicle holding issues noted.</w:t>
            </w:r>
          </w:p>
        </w:tc>
      </w:tr>
      <w:tr>
        <w:tc>
          <w:tcPr>
            <w:tcMar>
              <w:top w:type="dxa" w:w="80"/>
              <w:left w:type="dxa" w:w="100"/>
              <w:bottom w:type="dxa" w:w="80"/>
              <w:right w:type="dxa" w:w="100"/>
            </w:tcMar>
          </w:tcPr>
          <w:p>
            <w:r>
              <w:t xml:space="preserve">Production</w:t>
            </w:r>
          </w:p>
        </w:tc>
        <w:tc>
          <w:tcPr>
            <w:tcMar>
              <w:top w:type="dxa" w:w="80"/>
              <w:left w:type="dxa" w:w="100"/>
              <w:bottom w:type="dxa" w:w="80"/>
              <w:right w:type="dxa" w:w="100"/>
            </w:tcMar>
          </w:tcPr>
          <w:p>
            <w:r>
              <w:t xml:space="preserve">Sugar production steady with marginal increase. R3 boiling ongoing. Refinery and DS house operations stable. Molasses losses increased.</w:t>
            </w:r>
          </w:p>
        </w:tc>
        <w:tc>
          <w:tcPr>
            <w:tcMar>
              <w:top w:type="dxa" w:w="80"/>
              <w:left w:type="dxa" w:w="100"/>
              <w:bottom w:type="dxa" w:w="80"/>
              <w:right w:type="dxa" w:w="100"/>
            </w:tcMar>
          </w:tcPr>
          <w:p>
            <w:r>
              <w:t xml:space="preserve">Slight increase in production; molasses losses worsened.</w:t>
            </w:r>
          </w:p>
        </w:tc>
      </w:tr>
      <w:tr>
        <w:tc>
          <w:tcPr>
            <w:tcMar>
              <w:top w:type="dxa" w:w="80"/>
              <w:left w:type="dxa" w:w="100"/>
              <w:bottom w:type="dxa" w:w="80"/>
              <w:right w:type="dxa" w:w="100"/>
            </w:tcMar>
          </w:tcPr>
          <w:p>
            <w:r>
              <w:t xml:space="preserve">Power</w:t>
            </w:r>
          </w:p>
        </w:tc>
        <w:tc>
          <w:tcPr>
            <w:tcMar>
              <w:top w:type="dxa" w:w="80"/>
              <w:left w:type="dxa" w:w="100"/>
              <w:bottom w:type="dxa" w:w="80"/>
              <w:right w:type="dxa" w:w="100"/>
            </w:tcMar>
          </w:tcPr>
          <w:p>
            <w:r>
              <w:t xml:space="preserve">Power generation and export increased. Boiler operations stable, 150 TPH boiler at 151.1 TPH. Turbine PLF improved to 98.21%.</w:t>
            </w:r>
          </w:p>
        </w:tc>
        <w:tc>
          <w:tcPr>
            <w:tcMar>
              <w:top w:type="dxa" w:w="80"/>
              <w:left w:type="dxa" w:w="100"/>
              <w:bottom w:type="dxa" w:w="80"/>
              <w:right w:type="dxa" w:w="100"/>
            </w:tcMar>
          </w:tcPr>
          <w:p>
            <w:r>
              <w:t xml:space="preserve">More power generation and improved plant availability.</w:t>
            </w:r>
          </w:p>
        </w:tc>
      </w:tr>
      <w:tr>
        <w:tc>
          <w:tcPr>
            <w:tcMar>
              <w:top w:type="dxa" w:w="80"/>
              <w:left w:type="dxa" w:w="100"/>
              <w:bottom w:type="dxa" w:w="80"/>
              <w:right w:type="dxa" w:w="100"/>
            </w:tcMar>
          </w:tcPr>
          <w:p>
            <w:r>
              <w:t xml:space="preserve">Distillery</w:t>
            </w:r>
          </w:p>
        </w:tc>
        <w:tc>
          <w:tcPr>
            <w:tcMar>
              <w:top w:type="dxa" w:w="80"/>
              <w:left w:type="dxa" w:w="100"/>
              <w:bottom w:type="dxa" w:w="80"/>
              <w:right w:type="dxa" w:w="100"/>
            </w:tcMar>
          </w:tcPr>
          <w:p>
            <w:r>
              <w:t xml:space="preserve">Production impacted by 6 hrs downtime from evaporator leakage. Efficiency steady; feedstock quality consistent.</w:t>
            </w:r>
          </w:p>
        </w:tc>
        <w:tc>
          <w:tcPr>
            <w:tcMar>
              <w:top w:type="dxa" w:w="80"/>
              <w:left w:type="dxa" w:w="100"/>
              <w:bottom w:type="dxa" w:w="80"/>
              <w:right w:type="dxa" w:w="100"/>
            </w:tcMar>
          </w:tcPr>
          <w:p>
            <w:r>
              <w:t xml:space="preserve">Downtime negatively impacted production; efficiencies stable.</w:t>
            </w:r>
          </w:p>
        </w:tc>
      </w:tr>
      <w:tr>
        <w:tc>
          <w:tcPr>
            <w:tcMar>
              <w:top w:type="dxa" w:w="80"/>
              <w:left w:type="dxa" w:w="100"/>
              <w:bottom w:type="dxa" w:w="80"/>
              <w:right w:type="dxa" w:w="100"/>
            </w:tcMar>
          </w:tcPr>
          <w:p>
            <w:r>
              <w:t xml:space="preserve">Quality/EHS</w:t>
            </w:r>
          </w:p>
        </w:tc>
        <w:tc>
          <w:tcPr>
            <w:tcMar>
              <w:top w:type="dxa" w:w="80"/>
              <w:left w:type="dxa" w:w="100"/>
              <w:bottom w:type="dxa" w:w="80"/>
              <w:right w:type="dxa" w:w="100"/>
            </w:tcMar>
          </w:tcPr>
          <w:p>
            <w:r>
              <w:t xml:space="preserve">Total losses increased mainly due to molasses. Safety trainings ongoing; two minor accidents reported with timely actions.</w:t>
            </w:r>
          </w:p>
        </w:tc>
        <w:tc>
          <w:tcPr>
            <w:tcMar>
              <w:top w:type="dxa" w:w="80"/>
              <w:left w:type="dxa" w:w="100"/>
              <w:bottom w:type="dxa" w:w="80"/>
              <w:right w:type="dxa" w:w="100"/>
            </w:tcMar>
          </w:tcPr>
          <w:p>
            <w:r>
              <w:t xml:space="preserve">Losses increased; safety performance maintained.</w:t>
            </w:r>
          </w:p>
        </w:tc>
      </w:tr>
      <w:tr>
        <w:tc>
          <w:tcPr>
            <w:tcMar>
              <w:top w:type="dxa" w:w="80"/>
              <w:left w:type="dxa" w:w="100"/>
              <w:bottom w:type="dxa" w:w="80"/>
              <w:right w:type="dxa" w:w="100"/>
            </w:tcMar>
          </w:tcPr>
          <w:p>
            <w:r>
              <w:t xml:space="preserve">Capex</w:t>
            </w:r>
          </w:p>
        </w:tc>
        <w:tc>
          <w:tcPr>
            <w:tcMar>
              <w:top w:type="dxa" w:w="80"/>
              <w:left w:type="dxa" w:w="100"/>
              <w:bottom w:type="dxa" w:w="80"/>
              <w:right w:type="dxa" w:w="100"/>
            </w:tcMar>
          </w:tcPr>
          <w:p>
            <w:r>
              <w:t xml:space="preserve">Mud removal system 45% complete. R3 boiling and related plant erection progressing.</w:t>
            </w:r>
          </w:p>
        </w:tc>
        <w:tc>
          <w:tcPr>
            <w:tcMar>
              <w:top w:type="dxa" w:w="80"/>
              <w:left w:type="dxa" w:w="100"/>
              <w:bottom w:type="dxa" w:w="80"/>
              <w:right w:type="dxa" w:w="100"/>
            </w:tcMar>
          </w:tcPr>
          <w:p>
            <w:r>
              <w:t xml:space="preserve">Steady progress in capex projects.</w:t>
            </w:r>
          </w:p>
        </w:tc>
      </w:tr>
      <w:tr>
        <w:tc>
          <w:tcPr>
            <w:tcMar>
              <w:top w:type="dxa" w:w="80"/>
              <w:left w:type="dxa" w:w="100"/>
              <w:bottom w:type="dxa" w:w="80"/>
              <w:right w:type="dxa" w:w="100"/>
            </w:tcMar>
          </w:tcPr>
          <w:p>
            <w:r>
              <w:t xml:space="preserve">Risks</w:t>
            </w:r>
          </w:p>
        </w:tc>
        <w:tc>
          <w:tcPr>
            <w:tcMar>
              <w:top w:type="dxa" w:w="80"/>
              <w:left w:type="dxa" w:w="100"/>
              <w:bottom w:type="dxa" w:w="80"/>
              <w:right w:type="dxa" w:w="100"/>
            </w:tcMar>
          </w:tcPr>
          <w:p>
            <w:r>
              <w:t xml:space="preserve">Urgent action needed for molasses loss control. Vehicle holding times and mechanical failures risk operational efficiency.</w:t>
            </w:r>
          </w:p>
        </w:tc>
        <w:tc>
          <w:tcPr>
            <w:tcMar>
              <w:top w:type="dxa" w:w="80"/>
              <w:left w:type="dxa" w:w="100"/>
              <w:bottom w:type="dxa" w:w="80"/>
              <w:right w:type="dxa" w:w="100"/>
            </w:tcMar>
          </w:tcPr>
          <w:p>
            <w:r>
              <w:t xml:space="preserve">Molasses loss and mechanical failures rising; requires focus.</w:t>
            </w:r>
          </w:p>
        </w:tc>
      </w:tr>
    </w:tbl>
    <w:p>
      <w:pPr>
        <w:spacing w:after="300"/>
      </w:pPr>
    </w:p>
    <w:p>
      <w:pPr>
        <w:jc w:val="center"/>
      </w:pPr>
      <w:r>
        <w:rPr>
          <w:color w:val="888888"/>
          <w:sz w:val="18"/>
          <w:szCs w:val="18"/>
        </w:rPr>
        <w:t xml:space="preserve">This review is based exclusively on numbers and narratives disclosed in the weekly PDF slides.</w:t>
      </w:r>
    </w:p>
    <w:p>
      <w:pPr>
        <w:spacing w:before="100"/>
        <w:jc w:val="center"/>
      </w:pPr>
      <w:r>
        <w:rPr>
          <w:color w:val="AAAAAA"/>
          <w:sz w:val="16"/>
          <w:szCs w:val="16"/>
        </w:rPr>
        <w:t xml:space="preserve">Note: This report is AI-generated and may not be fully accurate. Please review and validate the information before relying on it for decision-making.</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fontTable" Target="fontTable.xml"/></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2026-02-05T12:20:54.347Z</dcterms:created>
  <dcterms:modified xsi:type="dcterms:W3CDTF">2026-02-05T12:20:54.347Z</dcterms:modified>
</cp:coreProperties>
</file>

<file path=docProps/custom.xml><?xml version="1.0" encoding="utf-8"?>
<Properties xmlns="http://schemas.openxmlformats.org/officeDocument/2006/custom-properties" xmlns:vt="http://schemas.openxmlformats.org/officeDocument/2006/docPropsVTypes"/>
</file>