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21 Nov 2025 vs Previous Week (14 Nov 2025)</w:t>
      </w:r>
    </w:p>
    <w:p>
      <w:pPr>
        <w:jc w:val="center"/>
      </w:pPr>
      <w:r>
        <w:rPr>
          <w:color w:val="666666"/>
          <w:sz w:val="20"/>
          <w:szCs w:val="20"/>
        </w:rPr>
        <w:t xml:space="preserve">Season Day: 27</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Crushing increased to 7.27 LQ from 6.91 LQ. Average crush rate excluding stoppage improved to 103,886 qtls from 96,457. Continuous 1 LQ+ crushing for 7 days achieved, with highest crush day of 106,000 qtls, shift highest 36,876 qtls. Capacity utilization increased to 103.89% from 98.64%. Downtime reduced significantly to 0:48 hrs from 5:29 hrs.</w:t>
      </w:r>
    </w:p>
    <w:p>
      <w:pPr>
        <w:pStyle w:val="ListParagraph"/>
        <w:numPr>
          <w:ilvl w:val="0"/>
          <w:numId w:val="1"/>
        </w:numPr>
        <w:spacing w:before="100"/>
      </w:pPr>
      <w:r>
        <w:rPr>
          <w:b/>
          <w:bCs/>
          <w:sz w:val="22"/>
          <w:szCs w:val="22"/>
        </w:rPr>
        <w:t xml:space="preserve">RECOVERY: </w:t>
      </w:r>
      <w:r>
        <w:rPr>
          <w:sz w:val="22"/>
          <w:szCs w:val="22"/>
        </w:rPr>
        <w:t xml:space="preserve">Sugar recovery improved to 9.43% from 9.10%. Pol in cane increased to 11.45% from 11.15%. Total pol losses marginally reduced to 1.88% from 1.96%. Till date recovery at 9.16% and total losses at 1.90%.</w:t>
      </w:r>
    </w:p>
    <w:p>
      <w:pPr>
        <w:pStyle w:val="ListParagraph"/>
        <w:numPr>
          <w:ilvl w:val="0"/>
          <w:numId w:val="1"/>
        </w:numPr>
        <w:spacing w:before="100"/>
      </w:pPr>
      <w:r>
        <w:rPr>
          <w:b/>
          <w:bCs/>
          <w:sz w:val="22"/>
          <w:szCs w:val="22"/>
        </w:rPr>
        <w:t xml:space="preserve">LOSSES: </w:t>
      </w:r>
      <w:r>
        <w:rPr>
          <w:sz w:val="22"/>
          <w:szCs w:val="22"/>
        </w:rPr>
        <w:t xml:space="preserve">Total losses decreased slightly to 1.88% from 1.96%. Losses in molasses reduced to 1.24% from 1.30%. Bagasse losses improved to 0.48% from 0.51%.</w:t>
      </w:r>
    </w:p>
    <w:p>
      <w:pPr>
        <w:pStyle w:val="ListParagraph"/>
        <w:numPr>
          <w:ilvl w:val="0"/>
          <w:numId w:val="1"/>
        </w:numPr>
        <w:spacing w:before="100"/>
      </w:pPr>
      <w:r>
        <w:rPr>
          <w:b/>
          <w:bCs/>
          <w:sz w:val="22"/>
          <w:szCs w:val="22"/>
        </w:rPr>
        <w:t xml:space="preserve">POWER: </w:t>
      </w:r>
      <w:r>
        <w:rPr>
          <w:sz w:val="22"/>
          <w:szCs w:val="22"/>
        </w:rPr>
        <w:t xml:space="preserve">Power generation stable at 64.71 LU from 64.56 LU. Power export slightly decreased to 38.06 LU from 38.41 LU. Power consumption increased to 41.18% of generation from 40.50%. Plant availability 100% across boilers and turbines.</w:t>
      </w:r>
    </w:p>
    <w:p>
      <w:pPr>
        <w:pStyle w:val="ListParagraph"/>
        <w:numPr>
          <w:ilvl w:val="0"/>
          <w:numId w:val="1"/>
        </w:numPr>
        <w:spacing w:before="100"/>
      </w:pPr>
      <w:r>
        <w:rPr>
          <w:b/>
          <w:bCs/>
          <w:sz w:val="22"/>
          <w:szCs w:val="22"/>
        </w:rPr>
        <w:t xml:space="preserve">DISTILLERY: </w:t>
      </w:r>
      <w:r>
        <w:rPr>
          <w:sz w:val="22"/>
          <w:szCs w:val="22"/>
        </w:rPr>
        <w:t xml:space="preserve">Ethanol production steady at 8.57 LL vs 8.03 LL. Distillery capacity utilization improved to 97.93% from 93.19%. Fermentation efficiency stable around 90.58-90.38%. Power consumption improved to 0.456 KWH/BL from 0.437.</w:t>
      </w:r>
    </w:p>
    <w:p>
      <w:pPr>
        <w:pStyle w:val="ListParagraph"/>
        <w:numPr>
          <w:ilvl w:val="0"/>
          <w:numId w:val="1"/>
        </w:numPr>
        <w:spacing w:before="100"/>
      </w:pPr>
      <w:r>
        <w:rPr>
          <w:b/>
          <w:bCs/>
          <w:sz w:val="22"/>
          <w:szCs w:val="22"/>
        </w:rPr>
        <w:t xml:space="preserve">SUGAR QUALITY: </w:t>
      </w:r>
      <w:r>
        <w:rPr>
          <w:sz w:val="22"/>
          <w:szCs w:val="22"/>
        </w:rPr>
        <w:t xml:space="preserve">DS house ICUMSA M-sugar improved to 98 from 118 last week. RS house ICUMSA L-sugar steady at 35. Pol filter cake remains at 2.00%. Sugar bagging increased in both RS and DS houses.</w:t>
      </w:r>
    </w:p>
    <w:p>
      <w:pPr>
        <w:pStyle w:val="ListParagraph"/>
        <w:numPr>
          <w:ilvl w:val="0"/>
          <w:numId w:val="1"/>
        </w:numPr>
        <w:spacing w:before="100"/>
      </w:pPr>
      <w:r>
        <w:rPr>
          <w:b/>
          <w:bCs/>
          <w:sz w:val="22"/>
          <w:szCs w:val="22"/>
        </w:rPr>
        <w:t xml:space="preserve">CAPEX / PROJECTS: </w:t>
      </w:r>
      <w:r>
        <w:rPr>
          <w:sz w:val="22"/>
          <w:szCs w:val="22"/>
        </w:rPr>
        <w:t xml:space="preserve">Mud Removal System (Decanter) progressed to 40% completion from 30%. New Molasses tank foundation work ongoing. R3 boiling arrangement work ongoing at 65% completion. Installation of the 300 KL AI tank completed and commissioning done. Critical spares procurement progressing with material receipt updates.</w:t>
      </w:r>
    </w:p>
    <w:p>
      <w:pPr>
        <w:pStyle w:val="ListParagraph"/>
        <w:numPr>
          <w:ilvl w:val="0"/>
          <w:numId w:val="1"/>
        </w:numPr>
        <w:spacing w:before="100"/>
      </w:pPr>
      <w:r>
        <w:rPr>
          <w:b/>
          <w:bCs/>
          <w:sz w:val="22"/>
          <w:szCs w:val="22"/>
        </w:rPr>
        <w:t xml:space="preserve">EHS &amp; SAFETY: </w:t>
      </w:r>
      <w:r>
        <w:rPr>
          <w:sz w:val="22"/>
          <w:szCs w:val="22"/>
        </w:rPr>
        <w:t xml:space="preserve">Near miss and hazardous activity reports indicate multiple safety improvements and trainings. Road safety incidents of minor nature with no casualties reported. Call center issues effectively resolved with top complaints on loader and truck availability. Safety upgrades ongoing including installation of metal detector and dust collector.</w:t>
      </w:r>
    </w:p>
    <w:p>
      <w:pPr>
        <w:spacing w:after="150"/>
      </w:pPr>
    </w:p>
    <w:p>
      <w:pPr>
        <w:spacing w:before="200" w:after="100"/>
      </w:pPr>
      <w:r>
        <w:rPr>
          <w:b/>
          <w:bCs/>
          <w:color w:val="2E75B5"/>
          <w:sz w:val="22"/>
          <w:szCs w:val="22"/>
        </w:rPr>
        <w:t xml:space="preserve">2. Overall Performance</w:t>
      </w:r>
    </w:p>
    <w:p>
      <w:pPr>
        <w:spacing w:after="100"/>
      </w:pPr>
      <w:r>
        <w:t xml:space="preserve">Overall plant operation was smooth and consistent with improvements in crushing rate, recovery, and reduction in downtime. Key bottlenecks such as feeder drum trips and boiler low drum level addressed. Critical outage of 70 TPH boiler on 18.11.25 analyzed with preventive actions identified to avoid recurrence.</w:t>
      </w:r>
    </w:p>
    <w:p>
      <w:pPr>
        <w:spacing w:before="200" w:after="100"/>
      </w:pPr>
      <w:r>
        <w:rPr>
          <w:b/>
          <w:bCs/>
          <w:color w:val="2E75B5"/>
          <w:sz w:val="22"/>
          <w:szCs w:val="22"/>
        </w:rPr>
        <w:t xml:space="preserve">3. Benchmark &amp; Comparative Position</w:t>
      </w:r>
    </w:p>
    <w:p>
      <w:pPr>
        <w:spacing w:after="100"/>
      </w:pPr>
      <w:r>
        <w:t xml:space="preserve">Capacity utilization for crushing at 103.89% (target 94.71%), power plant availability at 100%, ethanol capacity utilization improved to 97.93%. Sugar recovery and total losses improving with recovery at 9.43% (target 10.6%) and losses at 1.88%. Pol in cane at 11.45% compares favorably with peer ranges. Till date performance better than previous season on crush and recovery.</w:t>
      </w:r>
    </w:p>
    <w:p>
      <w:pPr>
        <w:spacing w:before="200" w:after="100"/>
      </w:pPr>
      <w:r>
        <w:rPr>
          <w:b/>
          <w:bCs/>
          <w:color w:val="2E75B5"/>
          <w:sz w:val="22"/>
          <w:szCs w:val="22"/>
        </w:rPr>
        <w:t xml:space="preserve">4. Cane Planning &amp; Control</w:t>
      </w:r>
    </w:p>
    <w:p>
      <w:pPr>
        <w:spacing w:after="100"/>
      </w:pPr>
      <w:r>
        <w:t xml:space="preserve">Daily indent rate stable at 1.09 LQ vs 1.10 LQ. Daily cane purchased improved slightly to 1.04 LQ from 0.99 LQ. Gate indent maturity improved to 89% from 82%, center indent maturity at 98% vs 90%. Affected cane reduced to 1.0% from 3.9%. Average Center Cane Holding Time slightly reduced. Action on 6,911 center and 2,554 gate purchi failures ongoing.</w:t>
      </w:r>
    </w:p>
    <w:p>
      <w:pPr>
        <w:spacing w:before="200" w:after="100"/>
      </w:pPr>
      <w:r>
        <w:rPr>
          <w:b/>
          <w:bCs/>
          <w:color w:val="2E75B5"/>
          <w:sz w:val="22"/>
          <w:szCs w:val="22"/>
        </w:rPr>
        <w:t xml:space="preserve">5. Engineering &amp; Milling Performance</w:t>
      </w:r>
    </w:p>
    <w:p>
      <w:pPr>
        <w:spacing w:after="100"/>
      </w:pPr>
      <w:r>
        <w:t xml:space="preserve">Downtime reduced to 0:48 hrs from 5:29 hrs due to elimination of feeder drum trips and planned stoppage. Capacity utilization increased to 103.89%. Bagasse pol improved to 1.74% from 1.78%. Consumption within targets. Critical spares procurement on track with material receipt updates.</w:t>
      </w:r>
    </w:p>
    <w:p>
      <w:pPr>
        <w:spacing w:before="200" w:after="100"/>
      </w:pPr>
      <w:r>
        <w:rPr>
          <w:b/>
          <w:bCs/>
          <w:color w:val="2E75B5"/>
          <w:sz w:val="22"/>
          <w:szCs w:val="22"/>
        </w:rPr>
        <w:t xml:space="preserve">6. Production Performance</w:t>
      </w:r>
    </w:p>
    <w:p>
      <w:pPr>
        <w:spacing w:after="100"/>
      </w:pPr>
      <w:r>
        <w:t xml:space="preserve">Sugar production increased to 0.63 LQ from 0.56 LQ. Sugar bagging improved in RS and DS houses. Sugar recovery improved across CH-RS and CH-DS. Molasses recovery and purity stable. Steam consumption increased slightly but within target. ICUMSA quality showed improvement in M-sugar.</w:t>
      </w:r>
    </w:p>
    <w:p>
      <w:pPr>
        <w:spacing w:before="200" w:after="100"/>
      </w:pPr>
      <w:r>
        <w:rPr>
          <w:b/>
          <w:bCs/>
          <w:color w:val="2E75B5"/>
          <w:sz w:val="22"/>
          <w:szCs w:val="22"/>
        </w:rPr>
        <w:t xml:space="preserve">7. Power Plant Performance</w:t>
      </w:r>
    </w:p>
    <w:p>
      <w:pPr>
        <w:spacing w:after="100"/>
      </w:pPr>
      <w:r>
        <w:t xml:space="preserve">Power generation stable at 64.71 LU and export at 38.06 LU. Power consumption percentage rose moderately to 41.18% of generation. All boilers and turbines availability at 100%. Forced outage of 70 TPH boiler occurred on 18.11.25 due to BFP strainer clogging with comprehensive preventive recommendations in place.</w:t>
      </w:r>
    </w:p>
    <w:p>
      <w:pPr>
        <w:spacing w:before="200" w:after="100"/>
      </w:pPr>
      <w:r>
        <w:rPr>
          <w:b/>
          <w:bCs/>
          <w:color w:val="2E75B5"/>
          <w:sz w:val="22"/>
          <w:szCs w:val="22"/>
        </w:rPr>
        <w:t xml:space="preserve">8. Distillery Performance</w:t>
      </w:r>
    </w:p>
    <w:p>
      <w:pPr>
        <w:spacing w:after="100"/>
      </w:pPr>
      <w:r>
        <w:t xml:space="preserve">Ethanol production slightly down to 8.19 LL from 8.57 LL. Efficiency metrics steady with fermentation efficiency at 90.58%. Feedstock syrup quality stable. Downtime nil post previous disruptions. Power and steam consumption improved.</w:t>
      </w:r>
    </w:p>
    <w:p>
      <w:pPr>
        <w:spacing w:before="200" w:after="100"/>
      </w:pPr>
      <w:r>
        <w:rPr>
          <w:b/>
          <w:bCs/>
          <w:color w:val="2E75B5"/>
          <w:sz w:val="22"/>
          <w:szCs w:val="22"/>
        </w:rPr>
        <w:t xml:space="preserve">9. Quality Control &amp; EHS</w:t>
      </w:r>
    </w:p>
    <w:p>
      <w:pPr>
        <w:spacing w:after="100"/>
      </w:pPr>
      <w:r>
        <w:t xml:space="preserve">Sugar quality improved in DS and RS houses with better ICUMSA values. Compliance and certification processes ongoing with next audits scheduled. Multiple safety and near-miss reports closed with preventive actions. Road safety incidents minor without casualties. Safety enhancements like metal detector and dust collector installation completed.</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70 TPH Boiler outage on 18.11.25 requires urgent implementation of preventive actions to avoid recurrence.</w:t>
      </w:r>
    </w:p>
    <w:p>
      <w:pPr>
        <w:pStyle w:val="ListParagraph"/>
        <w:numPr>
          <w:ilvl w:val="0"/>
          <w:numId w:val="1"/>
        </w:numPr>
        <w:spacing w:before="80"/>
      </w:pPr>
      <w:r>
        <w:t xml:space="preserve">Loader breakdown and ULJHAI dispute continue to impact logistics efficiency; planning and preventive maintenance needed.</w:t>
      </w:r>
    </w:p>
    <w:p>
      <w:pPr>
        <w:pStyle w:val="ListParagraph"/>
        <w:numPr>
          <w:ilvl w:val="0"/>
          <w:numId w:val="1"/>
        </w:numPr>
        <w:spacing w:before="80"/>
      </w:pPr>
      <w:r>
        <w:t xml:space="preserve">MRS installation delayed due to civil work and contractor redeployment; close monitoring required.</w:t>
      </w:r>
    </w:p>
    <w:p>
      <w:pPr>
        <w:pStyle w:val="ListParagraph"/>
        <w:numPr>
          <w:ilvl w:val="0"/>
          <w:numId w:val="1"/>
        </w:numPr>
        <w:spacing w:before="80"/>
      </w:pPr>
      <w:r>
        <w:t xml:space="preserve">High pol percentage in bagasse above target range requires milling optimization.</w:t>
      </w:r>
    </w:p>
    <w:p>
      <w:pPr>
        <w:pStyle w:val="ListParagraph"/>
        <w:numPr>
          <w:ilvl w:val="0"/>
          <w:numId w:val="1"/>
        </w:numPr>
        <w:spacing w:before="80"/>
      </w:pPr>
      <w:r>
        <w:t xml:space="preserve">Ethanol production decline due to increased fermentation hours under analysis.</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Cane Crushed (LQ)</w:t>
            </w:r>
          </w:p>
        </w:tc>
        <w:tc>
          <w:tcPr>
            <w:tcMar>
              <w:top w:type="dxa" w:w="80"/>
              <w:left w:type="dxa" w:w="100"/>
              <w:bottom w:type="dxa" w:w="80"/>
              <w:right w:type="dxa" w:w="100"/>
            </w:tcMar>
          </w:tcPr>
          <w:p>
            <w:r>
              <w:t xml:space="preserve">7.27</w:t>
            </w:r>
          </w:p>
        </w:tc>
        <w:tc>
          <w:tcPr>
            <w:tcMar>
              <w:top w:type="dxa" w:w="80"/>
              <w:left w:type="dxa" w:w="100"/>
              <w:bottom w:type="dxa" w:w="80"/>
              <w:right w:type="dxa" w:w="100"/>
            </w:tcMar>
          </w:tcPr>
          <w:p>
            <w:r>
              <w:t xml:space="preserve">6.91</w:t>
            </w:r>
          </w:p>
        </w:tc>
        <w:tc>
          <w:tcPr>
            <w:tcMar>
              <w:top w:type="dxa" w:w="80"/>
              <w:left w:type="dxa" w:w="100"/>
              <w:bottom w:type="dxa" w:w="80"/>
              <w:right w:type="dxa" w:w="100"/>
            </w:tcMar>
          </w:tcPr>
          <w:p>
            <w:r>
              <w:t xml:space="preserve">25.32</w:t>
            </w:r>
          </w:p>
        </w:tc>
        <w:tc>
          <w:tcPr>
            <w:tcMar>
              <w:top w:type="dxa" w:w="80"/>
              <w:left w:type="dxa" w:w="100"/>
              <w:bottom w:type="dxa" w:w="80"/>
              <w:right w:type="dxa" w:w="100"/>
            </w:tcMar>
          </w:tcPr>
          <w:p>
            <w:r>
              <w:t xml:space="preserve">+5.27%</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9.43%</w:t>
            </w:r>
          </w:p>
        </w:tc>
        <w:tc>
          <w:tcPr>
            <w:tcMar>
              <w:top w:type="dxa" w:w="80"/>
              <w:left w:type="dxa" w:w="100"/>
              <w:bottom w:type="dxa" w:w="80"/>
              <w:right w:type="dxa" w:w="100"/>
            </w:tcMar>
          </w:tcPr>
          <w:p>
            <w:r>
              <w:t xml:space="preserve">9.10%</w:t>
            </w:r>
          </w:p>
        </w:tc>
        <w:tc>
          <w:tcPr>
            <w:tcMar>
              <w:top w:type="dxa" w:w="80"/>
              <w:left w:type="dxa" w:w="100"/>
              <w:bottom w:type="dxa" w:w="80"/>
              <w:right w:type="dxa" w:w="100"/>
            </w:tcMar>
          </w:tcPr>
          <w:p>
            <w:r>
              <w:t xml:space="preserve">9.16%</w:t>
            </w:r>
          </w:p>
        </w:tc>
        <w:tc>
          <w:tcPr>
            <w:tcMar>
              <w:top w:type="dxa" w:w="80"/>
              <w:left w:type="dxa" w:w="100"/>
              <w:bottom w:type="dxa" w:w="80"/>
              <w:right w:type="dxa" w:w="100"/>
            </w:tcMar>
          </w:tcPr>
          <w:p>
            <w:r>
              <w:t xml:space="preserve">+0.33pp</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0.63</w:t>
            </w:r>
          </w:p>
        </w:tc>
        <w:tc>
          <w:tcPr>
            <w:tcMar>
              <w:top w:type="dxa" w:w="80"/>
              <w:left w:type="dxa" w:w="100"/>
              <w:bottom w:type="dxa" w:w="80"/>
              <w:right w:type="dxa" w:w="100"/>
            </w:tcMar>
          </w:tcPr>
          <w:p>
            <w:r>
              <w:t xml:space="preserve">0.56</w:t>
            </w:r>
          </w:p>
        </w:tc>
        <w:tc>
          <w:tcPr>
            <w:tcMar>
              <w:top w:type="dxa" w:w="80"/>
              <w:left w:type="dxa" w:w="100"/>
              <w:bottom w:type="dxa" w:w="80"/>
              <w:right w:type="dxa" w:w="100"/>
            </w:tcMar>
          </w:tcPr>
          <w:p>
            <w:r>
              <w:t xml:space="preserve">1.79</w:t>
            </w:r>
          </w:p>
        </w:tc>
        <w:tc>
          <w:tcPr>
            <w:tcMar>
              <w:top w:type="dxa" w:w="80"/>
              <w:left w:type="dxa" w:w="100"/>
              <w:bottom w:type="dxa" w:w="80"/>
              <w:right w:type="dxa" w:w="100"/>
            </w:tcMar>
          </w:tcPr>
          <w:p>
            <w:r>
              <w:t xml:space="preserve">+12.50%</w:t>
            </w:r>
          </w:p>
        </w:tc>
      </w:tr>
      <w:tr>
        <w:tc>
          <w:tcPr>
            <w:tcMar>
              <w:top w:type="dxa" w:w="80"/>
              <w:left w:type="dxa" w:w="100"/>
              <w:bottom w:type="dxa" w:w="80"/>
              <w:right w:type="dxa" w:w="100"/>
            </w:tcMar>
          </w:tcPr>
          <w:p>
            <w:r>
              <w:t xml:space="preserve">Capacity Utilization (%)</w:t>
            </w:r>
          </w:p>
        </w:tc>
        <w:tc>
          <w:tcPr>
            <w:tcMar>
              <w:top w:type="dxa" w:w="80"/>
              <w:left w:type="dxa" w:w="100"/>
              <w:bottom w:type="dxa" w:w="80"/>
              <w:right w:type="dxa" w:w="100"/>
            </w:tcMar>
          </w:tcPr>
          <w:p>
            <w:r>
              <w:t xml:space="preserve">103.89%</w:t>
            </w:r>
          </w:p>
        </w:tc>
        <w:tc>
          <w:tcPr>
            <w:tcMar>
              <w:top w:type="dxa" w:w="80"/>
              <w:left w:type="dxa" w:w="100"/>
              <w:bottom w:type="dxa" w:w="80"/>
              <w:right w:type="dxa" w:w="100"/>
            </w:tcMar>
          </w:tcPr>
          <w:p>
            <w:r>
              <w:t xml:space="preserve">98.64%</w:t>
            </w:r>
          </w:p>
        </w:tc>
        <w:tc>
          <w:tcPr>
            <w:tcMar>
              <w:top w:type="dxa" w:w="80"/>
              <w:left w:type="dxa" w:w="100"/>
              <w:bottom w:type="dxa" w:w="80"/>
              <w:right w:type="dxa" w:w="100"/>
            </w:tcMar>
          </w:tcPr>
          <w:p>
            <w:r>
              <w:t xml:space="preserve">93.78%</w:t>
            </w:r>
          </w:p>
        </w:tc>
        <w:tc>
          <w:tcPr>
            <w:tcMar>
              <w:top w:type="dxa" w:w="80"/>
              <w:left w:type="dxa" w:w="100"/>
              <w:bottom w:type="dxa" w:w="80"/>
              <w:right w:type="dxa" w:w="100"/>
            </w:tcMar>
          </w:tcPr>
          <w:p>
            <w:r>
              <w:t xml:space="preserve">+5.25pp</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1.90%</w:t>
            </w:r>
          </w:p>
        </w:tc>
        <w:tc>
          <w:tcPr>
            <w:tcMar>
              <w:top w:type="dxa" w:w="80"/>
              <w:left w:type="dxa" w:w="100"/>
              <w:bottom w:type="dxa" w:w="80"/>
              <w:right w:type="dxa" w:w="100"/>
            </w:tcMar>
          </w:tcPr>
          <w:p>
            <w:r>
              <w:t xml:space="preserve">-0.08pp</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1.74%</w:t>
            </w:r>
          </w:p>
        </w:tc>
        <w:tc>
          <w:tcPr>
            <w:tcMar>
              <w:top w:type="dxa" w:w="80"/>
              <w:left w:type="dxa" w:w="100"/>
              <w:bottom w:type="dxa" w:w="80"/>
              <w:right w:type="dxa" w:w="100"/>
            </w:tcMar>
          </w:tcPr>
          <w:p>
            <w:r>
              <w:t xml:space="preserve">1.78%</w:t>
            </w:r>
          </w:p>
        </w:tc>
        <w:tc>
          <w:tcPr>
            <w:tcMar>
              <w:top w:type="dxa" w:w="80"/>
              <w:left w:type="dxa" w:w="100"/>
              <w:bottom w:type="dxa" w:w="80"/>
              <w:right w:type="dxa" w:w="100"/>
            </w:tcMar>
          </w:tcPr>
          <w:p>
            <w:r>
              <w:t xml:space="preserve">1.81%</w:t>
            </w:r>
          </w:p>
        </w:tc>
        <w:tc>
          <w:tcPr>
            <w:tcMar>
              <w:top w:type="dxa" w:w="80"/>
              <w:left w:type="dxa" w:w="100"/>
              <w:bottom w:type="dxa" w:w="80"/>
              <w:right w:type="dxa" w:w="100"/>
            </w:tcMar>
          </w:tcPr>
          <w:p>
            <w:r>
              <w:t xml:space="preserve">-0.04pp</w:t>
            </w:r>
          </w:p>
        </w:tc>
      </w:tr>
      <w:tr>
        <w:tc>
          <w:tcPr>
            <w:tcMar>
              <w:top w:type="dxa" w:w="80"/>
              <w:left w:type="dxa" w:w="100"/>
              <w:bottom w:type="dxa" w:w="80"/>
              <w:right w:type="dxa" w:w="100"/>
            </w:tcMar>
          </w:tcPr>
          <w:p>
            <w:r>
              <w:t xml:space="preserve">DS ICUMSA (M-sugar)</w:t>
            </w:r>
          </w:p>
        </w:tc>
        <w:tc>
          <w:tcPr>
            <w:tcMar>
              <w:top w:type="dxa" w:w="80"/>
              <w:left w:type="dxa" w:w="100"/>
              <w:bottom w:type="dxa" w:w="80"/>
              <w:right w:type="dxa" w:w="100"/>
            </w:tcMar>
          </w:tcPr>
          <w:p>
            <w:r>
              <w:t xml:space="preserve">98</w:t>
            </w:r>
          </w:p>
        </w:tc>
        <w:tc>
          <w:tcPr>
            <w:tcMar>
              <w:top w:type="dxa" w:w="80"/>
              <w:left w:type="dxa" w:w="100"/>
              <w:bottom w:type="dxa" w:w="80"/>
              <w:right w:type="dxa" w:w="100"/>
            </w:tcMar>
          </w:tcPr>
          <w:p>
            <w:r>
              <w:t xml:space="preserve">118</w:t>
            </w:r>
          </w:p>
        </w:tc>
        <w:tc>
          <w:tcPr>
            <w:tcMar>
              <w:top w:type="dxa" w:w="80"/>
              <w:left w:type="dxa" w:w="100"/>
              <w:bottom w:type="dxa" w:w="80"/>
              <w:right w:type="dxa" w:w="100"/>
            </w:tcMar>
          </w:tcPr>
          <w:p>
            <w:r>
              <w:t xml:space="preserve">113</w:t>
            </w:r>
          </w:p>
        </w:tc>
        <w:tc>
          <w:tcPr>
            <w:tcMar>
              <w:top w:type="dxa" w:w="80"/>
              <w:left w:type="dxa" w:w="100"/>
              <w:bottom w:type="dxa" w:w="80"/>
              <w:right w:type="dxa" w:w="100"/>
            </w:tcMar>
          </w:tcPr>
          <w:p>
            <w:r>
              <w:t xml:space="preserve">-16.95%</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64.71</w:t>
            </w:r>
          </w:p>
        </w:tc>
        <w:tc>
          <w:tcPr>
            <w:tcMar>
              <w:top w:type="dxa" w:w="80"/>
              <w:left w:type="dxa" w:w="100"/>
              <w:bottom w:type="dxa" w:w="80"/>
              <w:right w:type="dxa" w:w="100"/>
            </w:tcMar>
          </w:tcPr>
          <w:p>
            <w:r>
              <w:t xml:space="preserve">64.56</w:t>
            </w:r>
          </w:p>
        </w:tc>
        <w:tc>
          <w:tcPr>
            <w:tcMar>
              <w:top w:type="dxa" w:w="80"/>
              <w:left w:type="dxa" w:w="100"/>
              <w:bottom w:type="dxa" w:w="80"/>
              <w:right w:type="dxa" w:w="100"/>
            </w:tcMar>
          </w:tcPr>
          <w:p>
            <w:r>
              <w:t xml:space="preserve">238.26</w:t>
            </w:r>
          </w:p>
        </w:tc>
        <w:tc>
          <w:tcPr>
            <w:tcMar>
              <w:top w:type="dxa" w:w="80"/>
              <w:left w:type="dxa" w:w="100"/>
              <w:bottom w:type="dxa" w:w="80"/>
              <w:right w:type="dxa" w:w="100"/>
            </w:tcMar>
          </w:tcPr>
          <w:p>
            <w:r>
              <w:t xml:space="preserve">+0.23%</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38.06</w:t>
            </w:r>
          </w:p>
        </w:tc>
        <w:tc>
          <w:tcPr>
            <w:tcMar>
              <w:top w:type="dxa" w:w="80"/>
              <w:left w:type="dxa" w:w="100"/>
              <w:bottom w:type="dxa" w:w="80"/>
              <w:right w:type="dxa" w:w="100"/>
            </w:tcMar>
          </w:tcPr>
          <w:p>
            <w:r>
              <w:t xml:space="preserve">38.41</w:t>
            </w:r>
          </w:p>
        </w:tc>
        <w:tc>
          <w:tcPr>
            <w:tcMar>
              <w:top w:type="dxa" w:w="80"/>
              <w:left w:type="dxa" w:w="100"/>
              <w:bottom w:type="dxa" w:w="80"/>
              <w:right w:type="dxa" w:w="100"/>
            </w:tcMar>
          </w:tcPr>
          <w:p>
            <w:r>
              <w:t xml:space="preserve">144.59</w:t>
            </w:r>
          </w:p>
        </w:tc>
        <w:tc>
          <w:tcPr>
            <w:tcMar>
              <w:top w:type="dxa" w:w="80"/>
              <w:left w:type="dxa" w:w="100"/>
              <w:bottom w:type="dxa" w:w="80"/>
              <w:right w:type="dxa" w:w="100"/>
            </w:tcMar>
          </w:tcPr>
          <w:p>
            <w:r>
              <w:t xml:space="preserve">-0.91%</w:t>
            </w:r>
          </w:p>
        </w:tc>
      </w:tr>
      <w:tr>
        <w:tc>
          <w:tcPr>
            <w:tcMar>
              <w:top w:type="dxa" w:w="80"/>
              <w:left w:type="dxa" w:w="100"/>
              <w:bottom w:type="dxa" w:w="80"/>
              <w:right w:type="dxa" w:w="100"/>
            </w:tcMar>
          </w:tcPr>
          <w:p>
            <w:r>
              <w:t xml:space="preserve">Power PLF - 30.85 MW (%)</w:t>
            </w:r>
          </w:p>
        </w:tc>
        <w:tc>
          <w:tcPr>
            <w:tcMar>
              <w:top w:type="dxa" w:w="80"/>
              <w:left w:type="dxa" w:w="100"/>
              <w:bottom w:type="dxa" w:w="80"/>
              <w:right w:type="dxa" w:w="100"/>
            </w:tcMar>
          </w:tcPr>
          <w:p>
            <w:r>
              <w:t xml:space="preserve">97.64%</w:t>
            </w:r>
          </w:p>
        </w:tc>
        <w:tc>
          <w:tcPr>
            <w:tcMar>
              <w:top w:type="dxa" w:w="80"/>
              <w:left w:type="dxa" w:w="100"/>
              <w:bottom w:type="dxa" w:w="80"/>
              <w:right w:type="dxa" w:w="100"/>
            </w:tcMar>
          </w:tcPr>
          <w:p>
            <w:r>
              <w:t xml:space="preserve">97.68%</w:t>
            </w:r>
          </w:p>
        </w:tc>
        <w:tc>
          <w:tcPr>
            <w:tcMar>
              <w:top w:type="dxa" w:w="80"/>
              <w:left w:type="dxa" w:w="100"/>
              <w:bottom w:type="dxa" w:w="80"/>
              <w:right w:type="dxa" w:w="100"/>
            </w:tcMar>
          </w:tcPr>
          <w:p>
            <w:r>
              <w:t xml:space="preserve">97.18%</w:t>
            </w:r>
          </w:p>
        </w:tc>
        <w:tc>
          <w:tcPr>
            <w:tcMar>
              <w:top w:type="dxa" w:w="80"/>
              <w:left w:type="dxa" w:w="100"/>
              <w:bottom w:type="dxa" w:w="80"/>
              <w:right w:type="dxa" w:w="100"/>
            </w:tcMar>
          </w:tcPr>
          <w:p>
            <w:r>
              <w:t xml:space="preserve">-0.04pp</w:t>
            </w:r>
          </w:p>
        </w:tc>
      </w:tr>
      <w:tr>
        <w:tc>
          <w:tcPr>
            <w:tcMar>
              <w:top w:type="dxa" w:w="80"/>
              <w:left w:type="dxa" w:w="100"/>
              <w:bottom w:type="dxa" w:w="80"/>
              <w:right w:type="dxa" w:w="100"/>
            </w:tcMar>
          </w:tcPr>
          <w:p>
            <w:r>
              <w:t xml:space="preserve">150 TPH Boiler (TPH)</w:t>
            </w:r>
          </w:p>
        </w:tc>
        <w:tc>
          <w:tcPr>
            <w:tcMar>
              <w:top w:type="dxa" w:w="80"/>
              <w:left w:type="dxa" w:w="100"/>
              <w:bottom w:type="dxa" w:w="80"/>
              <w:right w:type="dxa" w:w="100"/>
            </w:tcMar>
          </w:tcPr>
          <w:p>
            <w:r>
              <w:t xml:space="preserve">151.3</w:t>
            </w:r>
          </w:p>
        </w:tc>
        <w:tc>
          <w:tcPr>
            <w:tcMar>
              <w:top w:type="dxa" w:w="80"/>
              <w:left w:type="dxa" w:w="100"/>
              <w:bottom w:type="dxa" w:w="80"/>
              <w:right w:type="dxa" w:w="100"/>
            </w:tcMar>
          </w:tcPr>
          <w:p>
            <w:r>
              <w:t xml:space="preserve">150.2</w:t>
            </w:r>
          </w:p>
        </w:tc>
        <w:tc>
          <w:tcPr>
            <w:tcMar>
              <w:top w:type="dxa" w:w="80"/>
              <w:left w:type="dxa" w:w="100"/>
              <w:bottom w:type="dxa" w:w="80"/>
              <w:right w:type="dxa" w:w="100"/>
            </w:tcMar>
          </w:tcPr>
          <w:p>
            <w:r>
              <w:t xml:space="preserve">150.6</w:t>
            </w:r>
          </w:p>
        </w:tc>
        <w:tc>
          <w:tcPr>
            <w:tcMar>
              <w:top w:type="dxa" w:w="80"/>
              <w:left w:type="dxa" w:w="100"/>
              <w:bottom w:type="dxa" w:w="80"/>
              <w:right w:type="dxa" w:w="100"/>
            </w:tcMar>
          </w:tcPr>
          <w:p>
            <w:r>
              <w:t xml:space="preserve">+0.73%</w:t>
            </w:r>
          </w:p>
        </w:tc>
      </w:tr>
      <w:tr>
        <w:tc>
          <w:tcPr>
            <w:tcMar>
              <w:top w:type="dxa" w:w="80"/>
              <w:left w:type="dxa" w:w="100"/>
              <w:bottom w:type="dxa" w:w="80"/>
              <w:right w:type="dxa" w:w="100"/>
            </w:tcMar>
          </w:tcPr>
          <w:p>
            <w:r>
              <w:t xml:space="preserve">DISTILLERY Ethanol Produced (LL)</w:t>
            </w:r>
          </w:p>
        </w:tc>
        <w:tc>
          <w:tcPr>
            <w:tcMar>
              <w:top w:type="dxa" w:w="80"/>
              <w:left w:type="dxa" w:w="100"/>
              <w:bottom w:type="dxa" w:w="80"/>
              <w:right w:type="dxa" w:w="100"/>
            </w:tcMar>
          </w:tcPr>
          <w:p>
            <w:r>
              <w:t xml:space="preserve">8.19</w:t>
            </w:r>
          </w:p>
        </w:tc>
        <w:tc>
          <w:tcPr>
            <w:tcMar>
              <w:top w:type="dxa" w:w="80"/>
              <w:left w:type="dxa" w:w="100"/>
              <w:bottom w:type="dxa" w:w="80"/>
              <w:right w:type="dxa" w:w="100"/>
            </w:tcMar>
          </w:tcPr>
          <w:p>
            <w:r>
              <w:t xml:space="preserve">8.57</w:t>
            </w:r>
          </w:p>
        </w:tc>
        <w:tc>
          <w:tcPr>
            <w:tcMar>
              <w:top w:type="dxa" w:w="80"/>
              <w:left w:type="dxa" w:w="100"/>
              <w:bottom w:type="dxa" w:w="80"/>
              <w:right w:type="dxa" w:w="100"/>
            </w:tcMar>
          </w:tcPr>
          <w:p>
            <w:r>
              <w:t xml:space="preserve">34.38</w:t>
            </w:r>
          </w:p>
        </w:tc>
        <w:tc>
          <w:tcPr>
            <w:tcMar>
              <w:top w:type="dxa" w:w="80"/>
              <w:left w:type="dxa" w:w="100"/>
              <w:bottom w:type="dxa" w:w="80"/>
              <w:right w:type="dxa" w:w="100"/>
            </w:tcMar>
          </w:tcPr>
          <w:p>
            <w:r>
              <w:t xml:space="preserve">-4.44%</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97.93%</w:t>
            </w:r>
          </w:p>
        </w:tc>
        <w:tc>
          <w:tcPr>
            <w:tcMar>
              <w:top w:type="dxa" w:w="80"/>
              <w:left w:type="dxa" w:w="100"/>
              <w:bottom w:type="dxa" w:w="80"/>
              <w:right w:type="dxa" w:w="100"/>
            </w:tcMar>
          </w:tcPr>
          <w:p>
            <w:r>
              <w:t xml:space="preserve">93.19%</w:t>
            </w:r>
          </w:p>
        </w:tc>
        <w:tc>
          <w:tcPr>
            <w:tcMar>
              <w:top w:type="dxa" w:w="80"/>
              <w:left w:type="dxa" w:w="100"/>
              <w:bottom w:type="dxa" w:w="80"/>
              <w:right w:type="dxa" w:w="100"/>
            </w:tcMar>
          </w:tcPr>
          <w:p>
            <w:r>
              <w:t xml:space="preserve">96.07%</w:t>
            </w:r>
          </w:p>
        </w:tc>
        <w:tc>
          <w:tcPr>
            <w:tcMar>
              <w:top w:type="dxa" w:w="80"/>
              <w:left w:type="dxa" w:w="100"/>
              <w:bottom w:type="dxa" w:w="80"/>
              <w:right w:type="dxa" w:w="100"/>
            </w:tcMar>
          </w:tcPr>
          <w:p>
            <w:r>
              <w:t xml:space="preserve">+4.74pp</w:t>
            </w:r>
          </w:p>
        </w:tc>
      </w:tr>
      <w:tr>
        <w:tc>
          <w:tcPr>
            <w:tcMar>
              <w:top w:type="dxa" w:w="80"/>
              <w:left w:type="dxa" w:w="100"/>
              <w:bottom w:type="dxa" w:w="80"/>
              <w:right w:type="dxa" w:w="100"/>
            </w:tcMar>
          </w:tcPr>
          <w:p>
            <w:r>
              <w:t xml:space="preserve">Fermentation Eff. (%)</w:t>
            </w:r>
          </w:p>
        </w:tc>
        <w:tc>
          <w:tcPr>
            <w:tcMar>
              <w:top w:type="dxa" w:w="80"/>
              <w:left w:type="dxa" w:w="100"/>
              <w:bottom w:type="dxa" w:w="80"/>
              <w:right w:type="dxa" w:w="100"/>
            </w:tcMar>
          </w:tcPr>
          <w:p>
            <w:r>
              <w:t xml:space="preserve">90.58%</w:t>
            </w:r>
          </w:p>
        </w:tc>
        <w:tc>
          <w:tcPr>
            <w:tcMar>
              <w:top w:type="dxa" w:w="80"/>
              <w:left w:type="dxa" w:w="100"/>
              <w:bottom w:type="dxa" w:w="80"/>
              <w:right w:type="dxa" w:w="100"/>
            </w:tcMar>
          </w:tcPr>
          <w:p>
            <w:r>
              <w:t xml:space="preserve">90.38%</w:t>
            </w:r>
          </w:p>
        </w:tc>
        <w:tc>
          <w:tcPr>
            <w:tcMar>
              <w:top w:type="dxa" w:w="80"/>
              <w:left w:type="dxa" w:w="100"/>
              <w:bottom w:type="dxa" w:w="80"/>
              <w:right w:type="dxa" w:w="100"/>
            </w:tcMar>
          </w:tcPr>
          <w:p>
            <w:r>
              <w:t xml:space="preserve">90.78%</w:t>
            </w:r>
          </w:p>
        </w:tc>
        <w:tc>
          <w:tcPr>
            <w:tcMar>
              <w:top w:type="dxa" w:w="80"/>
              <w:left w:type="dxa" w:w="100"/>
              <w:bottom w:type="dxa" w:w="80"/>
              <w:right w:type="dxa" w:w="100"/>
            </w:tcMar>
          </w:tcPr>
          <w:p>
            <w:r>
              <w:t xml:space="preserve">+0.20pp</w:t>
            </w:r>
          </w:p>
        </w:tc>
      </w:tr>
      <w:tr>
        <w:tc>
          <w:tcPr>
            <w:tcMar>
              <w:top w:type="dxa" w:w="80"/>
              <w:left w:type="dxa" w:w="100"/>
              <w:bottom w:type="dxa" w:w="80"/>
              <w:right w:type="dxa" w:w="100"/>
            </w:tcMar>
          </w:tcPr>
          <w:p>
            <w:r>
              <w:t xml:space="preserve">Steam Consumed (Kg/BL)</w:t>
            </w:r>
          </w:p>
        </w:tc>
        <w:tc>
          <w:tcPr>
            <w:tcMar>
              <w:top w:type="dxa" w:w="80"/>
              <w:left w:type="dxa" w:w="100"/>
              <w:bottom w:type="dxa" w:w="80"/>
              <w:right w:type="dxa" w:w="100"/>
            </w:tcMar>
          </w:tcPr>
          <w:p>
            <w:r>
              <w:t xml:space="preserve">3.96</w:t>
            </w:r>
          </w:p>
        </w:tc>
        <w:tc>
          <w:tcPr>
            <w:tcMar>
              <w:top w:type="dxa" w:w="80"/>
              <w:left w:type="dxa" w:w="100"/>
              <w:bottom w:type="dxa" w:w="80"/>
              <w:right w:type="dxa" w:w="100"/>
            </w:tcMar>
          </w:tcPr>
          <w:p>
            <w:r>
              <w:t xml:space="preserve">3.98</w:t>
            </w:r>
          </w:p>
        </w:tc>
        <w:tc>
          <w:tcPr>
            <w:tcMar>
              <w:top w:type="dxa" w:w="80"/>
              <w:left w:type="dxa" w:w="100"/>
              <w:bottom w:type="dxa" w:w="80"/>
              <w:right w:type="dxa" w:w="100"/>
            </w:tcMar>
          </w:tcPr>
          <w:p>
            <w:r>
              <w:t xml:space="preserve">4.16</w:t>
            </w:r>
          </w:p>
        </w:tc>
        <w:tc>
          <w:tcPr>
            <w:tcMar>
              <w:top w:type="dxa" w:w="80"/>
              <w:left w:type="dxa" w:w="100"/>
              <w:bottom w:type="dxa" w:w="80"/>
              <w:right w:type="dxa" w:w="100"/>
            </w:tcMar>
          </w:tcPr>
          <w:p>
            <w:r>
              <w:t xml:space="preserve">-0.50%</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Downtime improved to 0:48 hrs from 5:29 hrs, planned stoppage eliminated. Capacity utilization increased to 103.89%. Bagasse pol improved to 1.74%. Steam consumption steady at 5.07 KG per Qtl Cane.</w:t>
            </w:r>
          </w:p>
        </w:tc>
        <w:tc>
          <w:tcPr>
            <w:tcMar>
              <w:top w:type="dxa" w:w="80"/>
              <w:left w:type="dxa" w:w="100"/>
              <w:bottom w:type="dxa" w:w="80"/>
              <w:right w:type="dxa" w:w="100"/>
            </w:tcMar>
          </w:tcPr>
          <w:p>
            <w:r>
              <w:t xml:space="preserve">Significant reduction in downtime from 5:29 hrs; improved utilization and quality metrics.</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Daily indent rate stable at 1.09 LQ; maturity improved to 89% from 82%. Affected cane reduced to 1.0% from 3.9%. Average center cane holding time slightly improved to 12.06 hrs from 12.30 hrs.</w:t>
            </w:r>
          </w:p>
        </w:tc>
        <w:tc>
          <w:tcPr>
            <w:tcMar>
              <w:top w:type="dxa" w:w="80"/>
              <w:left w:type="dxa" w:w="100"/>
              <w:bottom w:type="dxa" w:w="80"/>
              <w:right w:type="dxa" w:w="100"/>
            </w:tcMar>
          </w:tcPr>
          <w:p>
            <w:r>
              <w:t xml:space="preserve">Improvement in indent maturity and affected cane reduction noted.</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increased to 0.63 LQ. ICUMSA quality for DS house M-sugar improved to 98 from 118 last week. Recovery improved with CH RS at 9.45%. Steam and power consumption within target ranges.</w:t>
            </w:r>
          </w:p>
        </w:tc>
        <w:tc>
          <w:tcPr>
            <w:tcMar>
              <w:top w:type="dxa" w:w="80"/>
              <w:left w:type="dxa" w:w="100"/>
              <w:bottom w:type="dxa" w:w="80"/>
              <w:right w:type="dxa" w:w="100"/>
            </w:tcMar>
          </w:tcPr>
          <w:p>
            <w:r>
              <w:t xml:space="preserve">Sugar quality improved significantly with enhanced recovery and consumption control.</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stable at 64.71 LU. Power export slightly down to 38.06 LU. Power consumption as percentage of generation increased marginally to 41.18% from 40.50%. 70 TPH boiler outage analyzed with preventive plan.</w:t>
            </w:r>
          </w:p>
        </w:tc>
        <w:tc>
          <w:tcPr>
            <w:tcMar>
              <w:top w:type="dxa" w:w="80"/>
              <w:left w:type="dxa" w:w="100"/>
              <w:bottom w:type="dxa" w:w="80"/>
              <w:right w:type="dxa" w:w="100"/>
            </w:tcMar>
          </w:tcPr>
          <w:p>
            <w:r>
              <w:t xml:space="preserve">Generation stable; minor decrease in export with increased consumption due to boiler issues.</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slight decrease to 8.19 LL from 8.57 LL. Fermentation efficiency steady at 90.58%. Power consumption improved to 0.456 KWH/BL. Production loss due to increased fermentation hours under investigation.</w:t>
            </w:r>
          </w:p>
        </w:tc>
        <w:tc>
          <w:tcPr>
            <w:tcMar>
              <w:top w:type="dxa" w:w="80"/>
              <w:left w:type="dxa" w:w="100"/>
              <w:bottom w:type="dxa" w:w="80"/>
              <w:right w:type="dxa" w:w="100"/>
            </w:tcMar>
          </w:tcPr>
          <w:p>
            <w:r>
              <w:t xml:space="preserve">Minor decrease in production with efficiency metrics steady.</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Sugar quality improved; ICUMSA M-sugar better in DS house. Safety and near-miss incidents addressed and closed. Road safety incidents minor and controlled. New safety installations completed.</w:t>
            </w:r>
          </w:p>
        </w:tc>
        <w:tc>
          <w:tcPr>
            <w:tcMar>
              <w:top w:type="dxa" w:w="80"/>
              <w:left w:type="dxa" w:w="100"/>
              <w:bottom w:type="dxa" w:w="80"/>
              <w:right w:type="dxa" w:w="100"/>
            </w:tcMar>
          </w:tcPr>
          <w:p>
            <w:r>
              <w:t xml:space="preserve">Continuous improvement in safety and quality control.</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MRS Decanter installation progressed to 40%. Molasses tank foundation and R3 pan work ongoing. Critical spares received and installed. ZN-AI tank installation completed and commissioned.</w:t>
            </w:r>
          </w:p>
        </w:tc>
        <w:tc>
          <w:tcPr>
            <w:tcMar>
              <w:top w:type="dxa" w:w="80"/>
              <w:left w:type="dxa" w:w="100"/>
              <w:bottom w:type="dxa" w:w="80"/>
              <w:right w:type="dxa" w:w="100"/>
            </w:tcMar>
          </w:tcPr>
          <w:p>
            <w:r>
              <w:t xml:space="preserve">Steady progress with capex projects and critical spares deployment.</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2026-02-05T12:14:06.965Z</dcterms:created>
  <dcterms:modified xsi:type="dcterms:W3CDTF">2026-02-05T12:14:06.965Z</dcterms:modified>
</cp:coreProperties>
</file>

<file path=docProps/custom.xml><?xml version="1.0" encoding="utf-8"?>
<Properties xmlns="http://schemas.openxmlformats.org/officeDocument/2006/custom-properties" xmlns:vt="http://schemas.openxmlformats.org/officeDocument/2006/docPropsVTypes"/>
</file>