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color w:val="1F4E78"/>
          <w:sz w:val="36"/>
          <w:szCs w:val="36"/>
        </w:rPr>
        <w:t xml:space="preserve">WEEKLY LEADERSHIP REVIEW</w:t>
      </w:r>
    </w:p>
    <w:p>
      <w:pPr>
        <w:jc w:val="center"/>
      </w:pPr>
      <w:r>
        <w:rPr>
          <w:color w:val="444444"/>
          <w:sz w:val="28"/>
          <w:szCs w:val="28"/>
        </w:rPr>
        <w:t xml:space="preserve">Gobind Sugar Mill, Aira</w:t>
      </w:r>
    </w:p>
    <w:p>
      <w:pPr>
        <w:jc w:val="center"/>
      </w:pPr>
      <w:r>
        <w:rPr>
          <w:color w:val="666666"/>
          <w:sz w:val="20"/>
          <w:szCs w:val="20"/>
        </w:rPr>
        <w:t xml:space="preserve">Week: 07 Nov 2025 vs Previous Week (31 Oct 2025)</w:t>
      </w:r>
    </w:p>
    <w:p>
      <w:pPr>
        <w:jc w:val="center"/>
      </w:pPr>
      <w:r>
        <w:rPr>
          <w:color w:val="666666"/>
          <w:sz w:val="20"/>
          <w:szCs w:val="20"/>
        </w:rPr>
        <w:t xml:space="preserve">Season Day: 13</w:t>
      </w:r>
    </w:p>
    <w:p>
      <w:pPr>
        <w:spacing w:after="300"/>
      </w:pPr>
    </w:p>
    <w:p>
      <w:pPr>
        <w:pBdr>
          <w:bottom w:val="single" w:color="1F4E78" w:sz="6" w:space="1"/>
        </w:pBdr>
      </w:pPr>
      <w:r>
        <w:rPr>
          <w:b/>
          <w:bCs/>
          <w:color w:val="1F4E78"/>
          <w:sz w:val="26"/>
          <w:szCs w:val="26"/>
        </w:rPr>
        <w:t xml:space="preserve">PART 1 – INSIGHT NARRATIVE</w:t>
      </w:r>
    </w:p>
    <w:p>
      <w:pPr>
        <w:spacing w:after="150"/>
      </w:pPr>
    </w:p>
    <w:p>
      <w:r>
        <w:rPr>
          <w:b/>
          <w:bCs/>
          <w:color w:val="2E75B5"/>
          <w:sz w:val="24"/>
          <w:szCs w:val="24"/>
        </w:rPr>
        <w:t xml:space="preserve">1. Executive Summary (Key Insights)</w:t>
      </w:r>
    </w:p>
    <w:p>
      <w:pPr>
        <w:pStyle w:val="ListParagraph"/>
        <w:numPr>
          <w:ilvl w:val="0"/>
          <w:numId w:val="1"/>
        </w:numPr>
        <w:spacing w:before="100"/>
      </w:pPr>
      <w:r>
        <w:rPr>
          <w:b/>
          <w:bCs/>
          <w:sz w:val="22"/>
          <w:szCs w:val="22"/>
        </w:rPr>
        <w:t xml:space="preserve">CRUSHING PERFORMANCE: </w:t>
      </w:r>
      <w:r>
        <w:rPr>
          <w:sz w:val="22"/>
          <w:szCs w:val="22"/>
        </w:rPr>
        <w:t xml:space="preserve">Current week total crush at 6.89 LQ improved from 4.25 LQ last week, with till date crush at 11.14 LQ. Milling PUF improved to 98.43% from 70.90% with capacity utilization rising to 85.72%. Average crush excluding stoppage now at 87480 Qtls with planned stoppage 2 hours and forced shutdown 3.4 hours for till date.</w:t>
      </w:r>
    </w:p>
    <w:p>
      <w:pPr>
        <w:pStyle w:val="ListParagraph"/>
        <w:numPr>
          <w:ilvl w:val="0"/>
          <w:numId w:val="1"/>
        </w:numPr>
        <w:spacing w:before="100"/>
      </w:pPr>
      <w:r>
        <w:rPr>
          <w:b/>
          <w:bCs/>
          <w:sz w:val="22"/>
          <w:szCs w:val="22"/>
        </w:rPr>
        <w:t xml:space="preserve">RECOVERY: </w:t>
      </w:r>
      <w:r>
        <w:rPr>
          <w:sz w:val="22"/>
          <w:szCs w:val="22"/>
        </w:rPr>
        <w:t xml:space="preserve">Sugar recovery at 9.03% vs 9.00% last week, till date recovery steady at 9.02%. Pol in cane increased slightly to 10.99% from 10.89%. Total losses stable at 1.89% vs 1.88% last week, Bagasse Pol at 1.83% down slightly from 1.96%, but moisture stable at ~50.34%.</w:t>
      </w:r>
    </w:p>
    <w:p>
      <w:pPr>
        <w:pStyle w:val="ListParagraph"/>
        <w:numPr>
          <w:ilvl w:val="0"/>
          <w:numId w:val="1"/>
        </w:numPr>
        <w:spacing w:before="100"/>
      </w:pPr>
      <w:r>
        <w:rPr>
          <w:b/>
          <w:bCs/>
          <w:sz w:val="22"/>
          <w:szCs w:val="22"/>
        </w:rPr>
        <w:t xml:space="preserve">LOSSES: </w:t>
      </w:r>
      <w:r>
        <w:rPr>
          <w:sz w:val="22"/>
          <w:szCs w:val="22"/>
        </w:rPr>
        <w:t xml:space="preserve">Total pol losses flat at 1.89%. Losses in bagasse reduced slightly to 0.52% from 0.55%, molasses losses increased marginally to 1.16% from 1.08%. Unknown losses declined to 0.13% from 0.17%.</w:t>
      </w:r>
    </w:p>
    <w:p>
      <w:pPr>
        <w:pStyle w:val="ListParagraph"/>
        <w:numPr>
          <w:ilvl w:val="0"/>
          <w:numId w:val="1"/>
        </w:numPr>
        <w:spacing w:before="100"/>
      </w:pPr>
      <w:r>
        <w:rPr>
          <w:b/>
          <w:bCs/>
          <w:sz w:val="22"/>
          <w:szCs w:val="22"/>
        </w:rPr>
        <w:t xml:space="preserve">POWER: </w:t>
      </w:r>
      <w:r>
        <w:rPr>
          <w:sz w:val="22"/>
          <w:szCs w:val="22"/>
        </w:rPr>
        <w:t xml:space="preserve">Power generation increased from 44.69 LU to 64.30 LU, power export also rose to 38.32 LU from 29.80 LU. Power consumption as percent of generation increased to 40.40% from 33.32%. Plant availability at 150 TPH boiler and 30.85 MW turbine remained 100%, with 70 TPH boiler availability improving to 100% from 94.44%. PLF for 30.85 MW at 97.96% vs 95.16% last week.</w:t>
      </w:r>
    </w:p>
    <w:p>
      <w:pPr>
        <w:pStyle w:val="ListParagraph"/>
        <w:numPr>
          <w:ilvl w:val="0"/>
          <w:numId w:val="1"/>
        </w:numPr>
        <w:spacing w:before="100"/>
      </w:pPr>
      <w:r>
        <w:rPr>
          <w:b/>
          <w:bCs/>
          <w:sz w:val="22"/>
          <w:szCs w:val="22"/>
        </w:rPr>
        <w:t xml:space="preserve">DISTILLERY: </w:t>
      </w:r>
      <w:r>
        <w:rPr>
          <w:sz w:val="22"/>
          <w:szCs w:val="22"/>
        </w:rPr>
        <w:t xml:space="preserve">Ethanol production significant increase to 8.03 LL from 1.86 LL last week. Distillery PUF declined to 93.19% from 100.72%, but fermentation efficiency stable at 91.52%. Downtime reduced from 132.50 hrs to 2.58 hrs. Steam and power consumption improved from last week.</w:t>
      </w:r>
    </w:p>
    <w:p>
      <w:pPr>
        <w:pStyle w:val="ListParagraph"/>
        <w:numPr>
          <w:ilvl w:val="0"/>
          <w:numId w:val="1"/>
        </w:numPr>
        <w:spacing w:before="100"/>
      </w:pPr>
      <w:r>
        <w:rPr>
          <w:b/>
          <w:bCs/>
          <w:sz w:val="22"/>
          <w:szCs w:val="22"/>
        </w:rPr>
        <w:t xml:space="preserve">SUGAR QUALITY: </w:t>
      </w:r>
      <w:r>
        <w:rPr>
          <w:sz w:val="22"/>
          <w:szCs w:val="22"/>
        </w:rPr>
        <w:t xml:space="preserve">DS house M-sugar ICUMSA stable at 123 IU vs 123 IU last week. RS house L-sugar improved slightly to 32 IU from 36 IU last week. Quality within target ranges.</w:t>
      </w:r>
    </w:p>
    <w:p>
      <w:pPr>
        <w:pStyle w:val="ListParagraph"/>
        <w:numPr>
          <w:ilvl w:val="0"/>
          <w:numId w:val="1"/>
        </w:numPr>
        <w:spacing w:before="100"/>
      </w:pPr>
      <w:r>
        <w:rPr>
          <w:b/>
          <w:bCs/>
          <w:sz w:val="22"/>
          <w:szCs w:val="22"/>
        </w:rPr>
        <w:t xml:space="preserve">CAPEX / PROJECTS: </w:t>
      </w:r>
      <w:r>
        <w:rPr>
          <w:sz w:val="22"/>
          <w:szCs w:val="22"/>
        </w:rPr>
        <w:t xml:space="preserve">Mud Removal system at 30% progress. Pharma sugar reprocessing and packing room dehumidification system mostly complete (95%). Roofing and hot air blower provision work ongoing. Completion of various other projects in progress as per schedule.</w:t>
      </w:r>
    </w:p>
    <w:p>
      <w:pPr>
        <w:pStyle w:val="ListParagraph"/>
        <w:numPr>
          <w:ilvl w:val="0"/>
          <w:numId w:val="1"/>
        </w:numPr>
        <w:spacing w:before="100"/>
      </w:pPr>
      <w:r>
        <w:rPr>
          <w:b/>
          <w:bCs/>
          <w:sz w:val="22"/>
          <w:szCs w:val="22"/>
        </w:rPr>
        <w:t xml:space="preserve">EHS &amp; SAFETY: </w:t>
      </w:r>
      <w:r>
        <w:rPr>
          <w:sz w:val="22"/>
          <w:szCs w:val="22"/>
        </w:rPr>
        <w:t xml:space="preserve">UPS power cable failure caused 40 minutes operation stop, restored same day. Road safety incidents detailed with no casualties. Four hazardous activities were promptly addressed and closed. Farmer calls and complaints were managed efficiently with 11 calls resolved.</w:t>
      </w:r>
    </w:p>
    <w:p>
      <w:pPr>
        <w:spacing w:after="150"/>
      </w:pPr>
    </w:p>
    <w:p>
      <w:pPr>
        <w:spacing w:before="200" w:after="100"/>
      </w:pPr>
      <w:r>
        <w:rPr>
          <w:b/>
          <w:bCs/>
          <w:color w:val="2E75B5"/>
          <w:sz w:val="22"/>
          <w:szCs w:val="22"/>
        </w:rPr>
        <w:t xml:space="preserve">2. Overall Performance</w:t>
      </w:r>
    </w:p>
    <w:p>
      <w:pPr>
        <w:spacing w:after="100"/>
      </w:pPr>
      <w:r>
        <w:t xml:space="preserve">Overall crushing, sugar recovery, ethanol production and power generation improved vs last week with stable quality and losses. Operational uptime and plant availability improved, capex projects progressing, and safety incidents managed effectively.</w:t>
      </w:r>
    </w:p>
    <w:p>
      <w:pPr>
        <w:spacing w:before="200" w:after="100"/>
      </w:pPr>
      <w:r>
        <w:rPr>
          <w:b/>
          <w:bCs/>
          <w:color w:val="2E75B5"/>
          <w:sz w:val="22"/>
          <w:szCs w:val="22"/>
        </w:rPr>
        <w:t xml:space="preserve">3. Benchmark &amp; Comparative Position</w:t>
      </w:r>
    </w:p>
    <w:p>
      <w:pPr>
        <w:spacing w:after="100"/>
      </w:pPr>
      <w:r>
        <w:t xml:space="preserve">Capacity utilization and crushing rate are improving. Recovery is marginally up and steady vs last week and previous season. Losses are stable close to targets. Power plant and distillery operating close to benchmarks for availability and performance.</w:t>
      </w:r>
    </w:p>
    <w:p>
      <w:pPr>
        <w:spacing w:before="200" w:after="100"/>
      </w:pPr>
      <w:r>
        <w:rPr>
          <w:b/>
          <w:bCs/>
          <w:color w:val="2E75B5"/>
          <w:sz w:val="22"/>
          <w:szCs w:val="22"/>
        </w:rPr>
        <w:t xml:space="preserve">4. Cane Planning &amp; Control</w:t>
      </w:r>
    </w:p>
    <w:p>
      <w:pPr>
        <w:spacing w:after="100"/>
      </w:pPr>
      <w:r>
        <w:t xml:space="preserve">Daily indent rate steady at 1.05-1.07 LQ with cane purchased rate increased to 0.98 LQ. Gate and center indent maturity improved to 95% and 92%. Pol in cane stable at ~10.99%. Affected cane zero percent.</w:t>
      </w:r>
    </w:p>
    <w:p>
      <w:pPr>
        <w:spacing w:before="200" w:after="100"/>
      </w:pPr>
      <w:r>
        <w:rPr>
          <w:b/>
          <w:bCs/>
          <w:color w:val="2E75B5"/>
          <w:sz w:val="22"/>
          <w:szCs w:val="22"/>
        </w:rPr>
        <w:t xml:space="preserve">5. Engineering &amp; Milling Performance</w:t>
      </w:r>
    </w:p>
    <w:p>
      <w:pPr>
        <w:spacing w:after="100"/>
      </w:pPr>
      <w:r>
        <w:t xml:space="preserve">Significant improvement in milling with capacity utilization incl stoppages improving to 98.43%. Downtime increased to 4.22 hrs due to shredder tripping and planned stoppage for shredder checking (carbon brush replacement). Critical spares procured and under machining. Shredder motor vibrations monitored.</w:t>
      </w:r>
    </w:p>
    <w:p>
      <w:pPr>
        <w:spacing w:before="200" w:after="100"/>
      </w:pPr>
      <w:r>
        <w:rPr>
          <w:b/>
          <w:bCs/>
          <w:color w:val="2E75B5"/>
          <w:sz w:val="22"/>
          <w:szCs w:val="22"/>
        </w:rPr>
        <w:t xml:space="preserve">6. Production Performance</w:t>
      </w:r>
    </w:p>
    <w:p>
      <w:pPr>
        <w:spacing w:after="100"/>
      </w:pPr>
      <w:r>
        <w:t xml:space="preserve">Sugar production at 0.48 LQ increased from 0.12 LQ last week. Sugar bagging volumes increased substantially. Recovery improved slightly. C-Mol recovery stable with purity marginally above target. Steam and power consumption improved.</w:t>
      </w:r>
    </w:p>
    <w:p>
      <w:pPr>
        <w:spacing w:before="200" w:after="100"/>
      </w:pPr>
      <w:r>
        <w:rPr>
          <w:b/>
          <w:bCs/>
          <w:color w:val="2E75B5"/>
          <w:sz w:val="22"/>
          <w:szCs w:val="22"/>
        </w:rPr>
        <w:t xml:space="preserve">7. Power Plant Performance</w:t>
      </w:r>
    </w:p>
    <w:p>
      <w:pPr>
        <w:spacing w:after="100"/>
      </w:pPr>
      <w:r>
        <w:t xml:space="preserve">Power generation and export rose significantly. Boiler capacity utilization increased with full availability. Turbine PLF improved. Steam/fuel ratios and specific steam metrics in line with targets. Power consumption per ton of cane slightly above target.</w:t>
      </w:r>
    </w:p>
    <w:p>
      <w:pPr>
        <w:spacing w:before="200" w:after="100"/>
      </w:pPr>
      <w:r>
        <w:rPr>
          <w:b/>
          <w:bCs/>
          <w:color w:val="2E75B5"/>
          <w:sz w:val="22"/>
          <w:szCs w:val="22"/>
        </w:rPr>
        <w:t xml:space="preserve">8. Distillery Performance</w:t>
      </w:r>
    </w:p>
    <w:p>
      <w:pPr>
        <w:spacing w:after="100"/>
      </w:pPr>
      <w:r>
        <w:t xml:space="preserve">Ethanol production increased markedly with reduced downtime. Fermentation and distillation efficiencies stable. Steam and power consumption improved. Feedstock quality on syrup maintained. Safety and maintenance activities ongoing.</w:t>
      </w:r>
    </w:p>
    <w:p>
      <w:pPr>
        <w:spacing w:before="200" w:after="100"/>
      </w:pPr>
      <w:r>
        <w:rPr>
          <w:b/>
          <w:bCs/>
          <w:color w:val="2E75B5"/>
          <w:sz w:val="22"/>
          <w:szCs w:val="22"/>
        </w:rPr>
        <w:t xml:space="preserve">9. Quality Control &amp; EHS</w:t>
      </w:r>
    </w:p>
    <w:p>
      <w:pPr>
        <w:spacing w:after="100"/>
      </w:pPr>
      <w:r>
        <w:t xml:space="preserve">Pol in cane steady, ICUMSA values stable within expected ranges. EHS activities robust with incident management and hazard remediation completed. Farmer support and complaint redressal effective.</w:t>
      </w:r>
    </w:p>
    <w:p>
      <w:pPr>
        <w:spacing w:after="150"/>
      </w:pPr>
    </w:p>
    <w:p>
      <w:r>
        <w:rPr>
          <w:b/>
          <w:bCs/>
          <w:color w:val="C00000"/>
          <w:sz w:val="24"/>
          <w:szCs w:val="24"/>
        </w:rPr>
        <w:t xml:space="preserve">Risks &amp; Watch-outs for the Coming Week</w:t>
      </w:r>
    </w:p>
    <w:p>
      <w:pPr>
        <w:pStyle w:val="ListParagraph"/>
        <w:numPr>
          <w:ilvl w:val="0"/>
          <w:numId w:val="1"/>
        </w:numPr>
        <w:spacing w:before="80"/>
      </w:pPr>
      <w:r>
        <w:t xml:space="preserve">Risk of shredder motor failure due to abnormal vibration remains, related to carbon brush damage.</w:t>
      </w:r>
    </w:p>
    <w:p>
      <w:pPr>
        <w:pStyle w:val="ListParagraph"/>
        <w:numPr>
          <w:ilvl w:val="0"/>
          <w:numId w:val="1"/>
        </w:numPr>
        <w:spacing w:before="80"/>
      </w:pPr>
      <w:r>
        <w:t xml:space="preserve">UPS power cable infrastructure vulnerability indicated by failure incident; requires addressing for operational continuity.</w:t>
      </w:r>
    </w:p>
    <w:p>
      <w:pPr>
        <w:pStyle w:val="ListParagraph"/>
        <w:numPr>
          <w:ilvl w:val="0"/>
          <w:numId w:val="1"/>
        </w:numPr>
        <w:spacing w:before="80"/>
      </w:pPr>
      <w:r>
        <w:t xml:space="preserve">Capex project delays or hold due to external factors could impact operational efficiency.</w:t>
      </w:r>
    </w:p>
    <w:p>
      <w:pPr>
        <w:pStyle w:val="ListParagraph"/>
        <w:numPr>
          <w:ilvl w:val="0"/>
          <w:numId w:val="1"/>
        </w:numPr>
        <w:spacing w:before="80"/>
      </w:pPr>
      <w:r>
        <w:t xml:space="preserve">Monitoring of loader breakdowns and transporter availability critical due to impact on cane supply logistics.</w:t>
      </w:r>
    </w:p>
    <w:p>
      <w:pPr>
        <w:pStyle w:val="ListParagraph"/>
        <w:numPr>
          <w:ilvl w:val="0"/>
          <w:numId w:val="1"/>
        </w:numPr>
        <w:spacing w:before="80"/>
      </w:pPr>
      <w:r>
        <w:t xml:space="preserve">Safety related to chemical handling and operational discipline continues to require focus.</w:t>
      </w:r>
    </w:p>
    <w:p>
      <w:pPr>
        <w:spacing w:after="300"/>
      </w:pPr>
    </w:p>
    <w:p>
      <w:r>
        <w:rPr>
          <w:b/>
          <w:bCs/>
          <w:color w:val="006666"/>
          <w:sz w:val="24"/>
          <w:szCs w:val="24"/>
        </w:rPr>
        <w:t xml:space="preserve">TABLE A – Quantitative Discussion</w:t>
      </w:r>
    </w:p>
    <w:p>
      <w:pPr>
        <w:spacing w:after="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006666" w:color="auto" w:val="clear"/>
            <w:tcMar>
              <w:top w:type="dxa" w:w="100"/>
              <w:left w:type="dxa" w:w="100"/>
              <w:bottom w:type="dxa" w:w="100"/>
              <w:right w:type="dxa" w:w="100"/>
            </w:tcMar>
          </w:tcPr>
          <w:p>
            <w:pPr>
              <w:jc w:val="center"/>
            </w:pPr>
            <w:r>
              <w:rPr>
                <w:b/>
                <w:bCs/>
                <w:color w:val="FFFFFF"/>
              </w:rPr>
              <w:t xml:space="preserve">KPI</w:t>
            </w:r>
          </w:p>
        </w:tc>
        <w:tc>
          <w:tcPr>
            <w:shd w:fill="006666" w:color="auto" w:val="clear"/>
            <w:tcMar>
              <w:top w:type="dxa" w:w="100"/>
              <w:left w:type="dxa" w:w="100"/>
              <w:bottom w:type="dxa" w:w="100"/>
              <w:right w:type="dxa" w:w="100"/>
            </w:tcMar>
          </w:tcPr>
          <w:p>
            <w:pPr>
              <w:jc w:val="center"/>
            </w:pPr>
            <w:r>
              <w:rPr>
                <w:b/>
                <w:bCs/>
                <w:color w:val="FFFFFF"/>
              </w:rPr>
              <w:t xml:space="preserve">Current Week</w:t>
            </w:r>
          </w:p>
        </w:tc>
        <w:tc>
          <w:tcPr>
            <w:shd w:fill="006666" w:color="auto" w:val="clear"/>
            <w:tcMar>
              <w:top w:type="dxa" w:w="100"/>
              <w:left w:type="dxa" w:w="100"/>
              <w:bottom w:type="dxa" w:w="100"/>
              <w:right w:type="dxa" w:w="100"/>
            </w:tcMar>
          </w:tcPr>
          <w:p>
            <w:pPr>
              <w:jc w:val="center"/>
            </w:pPr>
            <w:r>
              <w:rPr>
                <w:b/>
                <w:bCs/>
                <w:color w:val="FFFFFF"/>
              </w:rPr>
              <w:t xml:space="preserve">Last Week</w:t>
            </w:r>
          </w:p>
        </w:tc>
        <w:tc>
          <w:tcPr>
            <w:shd w:fill="006666" w:color="auto" w:val="clear"/>
            <w:tcMar>
              <w:top w:type="dxa" w:w="100"/>
              <w:left w:type="dxa" w:w="100"/>
              <w:bottom w:type="dxa" w:w="100"/>
              <w:right w:type="dxa" w:w="100"/>
            </w:tcMar>
          </w:tcPr>
          <w:p>
            <w:pPr>
              <w:jc w:val="center"/>
            </w:pPr>
            <w:r>
              <w:rPr>
                <w:b/>
                <w:bCs/>
                <w:color w:val="FFFFFF"/>
              </w:rPr>
              <w:t xml:space="preserve">Till Date</w:t>
            </w:r>
          </w:p>
        </w:tc>
        <w:tc>
          <w:tcPr>
            <w:shd w:fill="006666" w:color="auto" w:val="clear"/>
            <w:tcMar>
              <w:top w:type="dxa" w:w="100"/>
              <w:left w:type="dxa" w:w="100"/>
              <w:bottom w:type="dxa" w:w="100"/>
              <w:right w:type="dxa" w:w="100"/>
            </w:tcMar>
          </w:tcPr>
          <w:p>
            <w:pPr>
              <w:jc w:val="center"/>
            </w:pPr>
            <w:r>
              <w:rPr>
                <w:b/>
                <w:bCs/>
                <w:color w:val="FFFFFF"/>
              </w:rPr>
              <w:t xml:space="preserve">WoW Change</w:t>
            </w:r>
          </w:p>
        </w:tc>
      </w:tr>
      <w:tr>
        <w:tc>
          <w:tcPr>
            <w:tcMar>
              <w:top w:type="dxa" w:w="80"/>
              <w:left w:type="dxa" w:w="100"/>
              <w:bottom w:type="dxa" w:w="80"/>
              <w:right w:type="dxa" w:w="100"/>
            </w:tcMar>
          </w:tcPr>
          <w:p>
            <w:r>
              <w:t xml:space="preserve">Total Sugarcane Crush (LQ)</w:t>
            </w:r>
          </w:p>
        </w:tc>
        <w:tc>
          <w:tcPr>
            <w:tcMar>
              <w:top w:type="dxa" w:w="80"/>
              <w:left w:type="dxa" w:w="100"/>
              <w:bottom w:type="dxa" w:w="80"/>
              <w:right w:type="dxa" w:w="100"/>
            </w:tcMar>
          </w:tcPr>
          <w:p>
            <w:r>
              <w:t xml:space="preserve">6.89</w:t>
            </w:r>
          </w:p>
        </w:tc>
        <w:tc>
          <w:tcPr>
            <w:tcMar>
              <w:top w:type="dxa" w:w="80"/>
              <w:left w:type="dxa" w:w="100"/>
              <w:bottom w:type="dxa" w:w="80"/>
              <w:right w:type="dxa" w:w="100"/>
            </w:tcMar>
          </w:tcPr>
          <w:p>
            <w:r>
              <w:t xml:space="preserve">4.25</w:t>
            </w:r>
          </w:p>
        </w:tc>
        <w:tc>
          <w:tcPr>
            <w:tcMar>
              <w:top w:type="dxa" w:w="80"/>
              <w:left w:type="dxa" w:w="100"/>
              <w:bottom w:type="dxa" w:w="80"/>
              <w:right w:type="dxa" w:w="100"/>
            </w:tcMar>
          </w:tcPr>
          <w:p>
            <w:r>
              <w:t xml:space="preserve">11.14</w:t>
            </w:r>
          </w:p>
        </w:tc>
        <w:tc>
          <w:tcPr>
            <w:tcMar>
              <w:top w:type="dxa" w:w="80"/>
              <w:left w:type="dxa" w:w="100"/>
              <w:bottom w:type="dxa" w:w="80"/>
              <w:right w:type="dxa" w:w="100"/>
            </w:tcMar>
          </w:tcPr>
          <w:p>
            <w:r>
              <w:t xml:space="preserve"/>
            </w:r>
          </w:p>
        </w:tc>
      </w:tr>
      <w:tr>
        <w:tc>
          <w:tcPr>
            <w:tcMar>
              <w:top w:type="dxa" w:w="80"/>
              <w:left w:type="dxa" w:w="100"/>
              <w:bottom w:type="dxa" w:w="80"/>
              <w:right w:type="dxa" w:w="100"/>
            </w:tcMar>
          </w:tcPr>
          <w:p>
            <w:r>
              <w:t xml:space="preserve">Sugar Recovery (%)</w:t>
            </w:r>
          </w:p>
        </w:tc>
        <w:tc>
          <w:tcPr>
            <w:tcMar>
              <w:top w:type="dxa" w:w="80"/>
              <w:left w:type="dxa" w:w="100"/>
              <w:bottom w:type="dxa" w:w="80"/>
              <w:right w:type="dxa" w:w="100"/>
            </w:tcMar>
          </w:tcPr>
          <w:p>
            <w:r>
              <w:t xml:space="preserve">9.03%</w:t>
            </w:r>
          </w:p>
        </w:tc>
        <w:tc>
          <w:tcPr>
            <w:tcMar>
              <w:top w:type="dxa" w:w="80"/>
              <w:left w:type="dxa" w:w="100"/>
              <w:bottom w:type="dxa" w:w="80"/>
              <w:right w:type="dxa" w:w="100"/>
            </w:tcMar>
          </w:tcPr>
          <w:p>
            <w:r>
              <w:t xml:space="preserve">9.00%</w:t>
            </w:r>
          </w:p>
        </w:tc>
        <w:tc>
          <w:tcPr>
            <w:tcMar>
              <w:top w:type="dxa" w:w="80"/>
              <w:left w:type="dxa" w:w="100"/>
              <w:bottom w:type="dxa" w:w="80"/>
              <w:right w:type="dxa" w:w="100"/>
            </w:tcMar>
          </w:tcPr>
          <w:p>
            <w:r>
              <w:t xml:space="preserve">9.02%</w:t>
            </w:r>
          </w:p>
        </w:tc>
        <w:tc>
          <w:tcPr>
            <w:tcMar>
              <w:top w:type="dxa" w:w="80"/>
              <w:left w:type="dxa" w:w="100"/>
              <w:bottom w:type="dxa" w:w="80"/>
              <w:right w:type="dxa" w:w="100"/>
            </w:tcMar>
          </w:tcPr>
          <w:p>
            <w:r>
              <w:t xml:space="preserve"/>
            </w:r>
          </w:p>
        </w:tc>
      </w:tr>
      <w:tr>
        <w:tc>
          <w:tcPr>
            <w:tcMar>
              <w:top w:type="dxa" w:w="80"/>
              <w:left w:type="dxa" w:w="100"/>
              <w:bottom w:type="dxa" w:w="80"/>
              <w:right w:type="dxa" w:w="100"/>
            </w:tcMar>
          </w:tcPr>
          <w:p>
            <w:r>
              <w:t xml:space="preserve">Sugar Produced (LQ)</w:t>
            </w:r>
          </w:p>
        </w:tc>
        <w:tc>
          <w:tcPr>
            <w:tcMar>
              <w:top w:type="dxa" w:w="80"/>
              <w:left w:type="dxa" w:w="100"/>
              <w:bottom w:type="dxa" w:w="80"/>
              <w:right w:type="dxa" w:w="100"/>
            </w:tcMar>
          </w:tcPr>
          <w:p>
            <w:r>
              <w:t xml:space="preserve">0.48</w:t>
            </w:r>
          </w:p>
        </w:tc>
        <w:tc>
          <w:tcPr>
            <w:tcMar>
              <w:top w:type="dxa" w:w="80"/>
              <w:left w:type="dxa" w:w="100"/>
              <w:bottom w:type="dxa" w:w="80"/>
              <w:right w:type="dxa" w:w="100"/>
            </w:tcMar>
          </w:tcPr>
          <w:p>
            <w:r>
              <w:t xml:space="preserve">0.12</w:t>
            </w:r>
          </w:p>
        </w:tc>
        <w:tc>
          <w:tcPr>
            <w:tcMar>
              <w:top w:type="dxa" w:w="80"/>
              <w:left w:type="dxa" w:w="100"/>
              <w:bottom w:type="dxa" w:w="80"/>
              <w:right w:type="dxa" w:w="100"/>
            </w:tcMar>
          </w:tcPr>
          <w:p>
            <w:r>
              <w:t xml:space="preserve">0.60</w:t>
            </w:r>
          </w:p>
        </w:tc>
        <w:tc>
          <w:tcPr>
            <w:tcMar>
              <w:top w:type="dxa" w:w="80"/>
              <w:left w:type="dxa" w:w="100"/>
              <w:bottom w:type="dxa" w:w="80"/>
              <w:right w:type="dxa" w:w="100"/>
            </w:tcMar>
          </w:tcPr>
          <w:p>
            <w:r>
              <w:t xml:space="preserve"/>
            </w:r>
          </w:p>
        </w:tc>
      </w:tr>
      <w:tr>
        <w:tc>
          <w:tcPr>
            <w:tcMar>
              <w:top w:type="dxa" w:w="80"/>
              <w:left w:type="dxa" w:w="100"/>
              <w:bottom w:type="dxa" w:w="80"/>
              <w:right w:type="dxa" w:w="100"/>
            </w:tcMar>
          </w:tcPr>
          <w:p>
            <w:r>
              <w:t xml:space="preserve">Capacity Utilization - Milling (%)</w:t>
            </w:r>
          </w:p>
        </w:tc>
        <w:tc>
          <w:tcPr>
            <w:tcMar>
              <w:top w:type="dxa" w:w="80"/>
              <w:left w:type="dxa" w:w="100"/>
              <w:bottom w:type="dxa" w:w="80"/>
              <w:right w:type="dxa" w:w="100"/>
            </w:tcMar>
          </w:tcPr>
          <w:p>
            <w:r>
              <w:t xml:space="preserve">98.43%</w:t>
            </w:r>
          </w:p>
        </w:tc>
        <w:tc>
          <w:tcPr>
            <w:tcMar>
              <w:top w:type="dxa" w:w="80"/>
              <w:left w:type="dxa" w:w="100"/>
              <w:bottom w:type="dxa" w:w="80"/>
              <w:right w:type="dxa" w:w="100"/>
            </w:tcMar>
          </w:tcPr>
          <w:p>
            <w:r>
              <w:t xml:space="preserve">70.90%</w:t>
            </w:r>
          </w:p>
        </w:tc>
        <w:tc>
          <w:tcPr>
            <w:tcMar>
              <w:top w:type="dxa" w:w="80"/>
              <w:left w:type="dxa" w:w="100"/>
              <w:bottom w:type="dxa" w:w="80"/>
              <w:right w:type="dxa" w:w="100"/>
            </w:tcMar>
          </w:tcPr>
          <w:p>
            <w:r>
              <w:t xml:space="preserve">85.72%</w:t>
            </w:r>
          </w:p>
        </w:tc>
        <w:tc>
          <w:tcPr>
            <w:tcMar>
              <w:top w:type="dxa" w:w="80"/>
              <w:left w:type="dxa" w:w="100"/>
              <w:bottom w:type="dxa" w:w="80"/>
              <w:right w:type="dxa" w:w="100"/>
            </w:tcMar>
          </w:tcPr>
          <w:p>
            <w:r>
              <w:t xml:space="preserve"/>
            </w:r>
          </w:p>
        </w:tc>
      </w:tr>
      <w:tr>
        <w:tc>
          <w:tcPr>
            <w:tcMar>
              <w:top w:type="dxa" w:w="80"/>
              <w:left w:type="dxa" w:w="100"/>
              <w:bottom w:type="dxa" w:w="80"/>
              <w:right w:type="dxa" w:w="100"/>
            </w:tcMar>
          </w:tcPr>
          <w:p>
            <w:r>
              <w:t xml:space="preserve">Total Pol Losses (%)</w:t>
            </w:r>
          </w:p>
        </w:tc>
        <w:tc>
          <w:tcPr>
            <w:tcMar>
              <w:top w:type="dxa" w:w="80"/>
              <w:left w:type="dxa" w:w="100"/>
              <w:bottom w:type="dxa" w:w="80"/>
              <w:right w:type="dxa" w:w="100"/>
            </w:tcMar>
          </w:tcPr>
          <w:p>
            <w:r>
              <w:t xml:space="preserve">1.89%</w:t>
            </w:r>
          </w:p>
        </w:tc>
        <w:tc>
          <w:tcPr>
            <w:tcMar>
              <w:top w:type="dxa" w:w="80"/>
              <w:left w:type="dxa" w:w="100"/>
              <w:bottom w:type="dxa" w:w="80"/>
              <w:right w:type="dxa" w:w="100"/>
            </w:tcMar>
          </w:tcPr>
          <w:p>
            <w:r>
              <w:t xml:space="preserve">1.88%</w:t>
            </w:r>
          </w:p>
        </w:tc>
        <w:tc>
          <w:tcPr>
            <w:tcMar>
              <w:top w:type="dxa" w:w="80"/>
              <w:left w:type="dxa" w:w="100"/>
              <w:bottom w:type="dxa" w:w="80"/>
              <w:right w:type="dxa" w:w="100"/>
            </w:tcMar>
          </w:tcPr>
          <w:p>
            <w:r>
              <w:t xml:space="preserve">1.89%</w:t>
            </w:r>
          </w:p>
        </w:tc>
        <w:tc>
          <w:tcPr>
            <w:tcMar>
              <w:top w:type="dxa" w:w="80"/>
              <w:left w:type="dxa" w:w="100"/>
              <w:bottom w:type="dxa" w:w="80"/>
              <w:right w:type="dxa" w:w="100"/>
            </w:tcMar>
          </w:tcPr>
          <w:p>
            <w:r>
              <w:t xml:space="preserve"/>
            </w:r>
          </w:p>
        </w:tc>
      </w:tr>
      <w:tr>
        <w:tc>
          <w:tcPr>
            <w:tcMar>
              <w:top w:type="dxa" w:w="80"/>
              <w:left w:type="dxa" w:w="100"/>
              <w:bottom w:type="dxa" w:w="80"/>
              <w:right w:type="dxa" w:w="100"/>
            </w:tcMar>
          </w:tcPr>
          <w:p>
            <w:r>
              <w:t xml:space="preserve">Pol % Bagasse</w:t>
            </w:r>
          </w:p>
        </w:tc>
        <w:tc>
          <w:tcPr>
            <w:tcMar>
              <w:top w:type="dxa" w:w="80"/>
              <w:left w:type="dxa" w:w="100"/>
              <w:bottom w:type="dxa" w:w="80"/>
              <w:right w:type="dxa" w:w="100"/>
            </w:tcMar>
          </w:tcPr>
          <w:p>
            <w:r>
              <w:t xml:space="preserve">1.83</w:t>
            </w:r>
          </w:p>
        </w:tc>
        <w:tc>
          <w:tcPr>
            <w:tcMar>
              <w:top w:type="dxa" w:w="80"/>
              <w:left w:type="dxa" w:w="100"/>
              <w:bottom w:type="dxa" w:w="80"/>
              <w:right w:type="dxa" w:w="100"/>
            </w:tcMar>
          </w:tcPr>
          <w:p>
            <w:r>
              <w:t xml:space="preserve">1.96</w:t>
            </w:r>
          </w:p>
        </w:tc>
        <w:tc>
          <w:tcPr>
            <w:tcMar>
              <w:top w:type="dxa" w:w="80"/>
              <w:left w:type="dxa" w:w="100"/>
              <w:bottom w:type="dxa" w:w="80"/>
              <w:right w:type="dxa" w:w="100"/>
            </w:tcMar>
          </w:tcPr>
          <w:p>
            <w:r>
              <w:t xml:space="preserve">1.88</w:t>
            </w:r>
          </w:p>
        </w:tc>
        <w:tc>
          <w:tcPr>
            <w:tcMar>
              <w:top w:type="dxa" w:w="80"/>
              <w:left w:type="dxa" w:w="100"/>
              <w:bottom w:type="dxa" w:w="80"/>
              <w:right w:type="dxa" w:w="100"/>
            </w:tcMar>
          </w:tcPr>
          <w:p>
            <w:r>
              <w:t xml:space="preserve"/>
            </w:r>
          </w:p>
        </w:tc>
      </w:tr>
      <w:tr>
        <w:tc>
          <w:tcPr>
            <w:tcMar>
              <w:top w:type="dxa" w:w="80"/>
              <w:left w:type="dxa" w:w="100"/>
              <w:bottom w:type="dxa" w:w="80"/>
              <w:right w:type="dxa" w:w="100"/>
            </w:tcMar>
          </w:tcPr>
          <w:p>
            <w:r>
              <w:t xml:space="preserve">Bagasse Moisture (%)</w:t>
            </w:r>
          </w:p>
        </w:tc>
        <w:tc>
          <w:tcPr>
            <w:tcMar>
              <w:top w:type="dxa" w:w="80"/>
              <w:left w:type="dxa" w:w="100"/>
              <w:bottom w:type="dxa" w:w="80"/>
              <w:right w:type="dxa" w:w="100"/>
            </w:tcMar>
          </w:tcPr>
          <w:p>
            <w:r>
              <w:t xml:space="preserve">50.34%</w:t>
            </w:r>
          </w:p>
        </w:tc>
        <w:tc>
          <w:tcPr>
            <w:tcMar>
              <w:top w:type="dxa" w:w="80"/>
              <w:left w:type="dxa" w:w="100"/>
              <w:bottom w:type="dxa" w:w="80"/>
              <w:right w:type="dxa" w:w="100"/>
            </w:tcMar>
          </w:tcPr>
          <w:p>
            <w:r>
              <w:t xml:space="preserve">50.52%</w:t>
            </w:r>
          </w:p>
        </w:tc>
        <w:tc>
          <w:tcPr>
            <w:tcMar>
              <w:top w:type="dxa" w:w="80"/>
              <w:left w:type="dxa" w:w="100"/>
              <w:bottom w:type="dxa" w:w="80"/>
              <w:right w:type="dxa" w:w="100"/>
            </w:tcMar>
          </w:tcPr>
          <w:p>
            <w:r>
              <w:t xml:space="preserve">50.39%</w:t>
            </w:r>
          </w:p>
        </w:tc>
        <w:tc>
          <w:tcPr>
            <w:tcMar>
              <w:top w:type="dxa" w:w="80"/>
              <w:left w:type="dxa" w:w="100"/>
              <w:bottom w:type="dxa" w:w="80"/>
              <w:right w:type="dxa" w:w="100"/>
            </w:tcMar>
          </w:tcPr>
          <w:p>
            <w:r>
              <w:t xml:space="preserve"/>
            </w:r>
          </w:p>
        </w:tc>
      </w:tr>
      <w:tr>
        <w:tc>
          <w:tcPr>
            <w:tcMar>
              <w:top w:type="dxa" w:w="80"/>
              <w:left w:type="dxa" w:w="100"/>
              <w:bottom w:type="dxa" w:w="80"/>
              <w:right w:type="dxa" w:w="100"/>
            </w:tcMar>
          </w:tcPr>
          <w:p>
            <w:r>
              <w:t xml:space="preserve">Power Generation (LU)</w:t>
            </w:r>
          </w:p>
        </w:tc>
        <w:tc>
          <w:tcPr>
            <w:tcMar>
              <w:top w:type="dxa" w:w="80"/>
              <w:left w:type="dxa" w:w="100"/>
              <w:bottom w:type="dxa" w:w="80"/>
              <w:right w:type="dxa" w:w="100"/>
            </w:tcMar>
          </w:tcPr>
          <w:p>
            <w:r>
              <w:t xml:space="preserve">64.30</w:t>
            </w:r>
          </w:p>
        </w:tc>
        <w:tc>
          <w:tcPr>
            <w:tcMar>
              <w:top w:type="dxa" w:w="80"/>
              <w:left w:type="dxa" w:w="100"/>
              <w:bottom w:type="dxa" w:w="80"/>
              <w:right w:type="dxa" w:w="100"/>
            </w:tcMar>
          </w:tcPr>
          <w:p>
            <w:r>
              <w:t xml:space="preserve">44.69</w:t>
            </w:r>
          </w:p>
        </w:tc>
        <w:tc>
          <w:tcPr>
            <w:tcMar>
              <w:top w:type="dxa" w:w="80"/>
              <w:left w:type="dxa" w:w="100"/>
              <w:bottom w:type="dxa" w:w="80"/>
              <w:right w:type="dxa" w:w="100"/>
            </w:tcMar>
          </w:tcPr>
          <w:p>
            <w:r>
              <w:t xml:space="preserve">108.99</w:t>
            </w:r>
          </w:p>
        </w:tc>
        <w:tc>
          <w:tcPr>
            <w:tcMar>
              <w:top w:type="dxa" w:w="80"/>
              <w:left w:type="dxa" w:w="100"/>
              <w:bottom w:type="dxa" w:w="80"/>
              <w:right w:type="dxa" w:w="100"/>
            </w:tcMar>
          </w:tcPr>
          <w:p>
            <w:r>
              <w:t xml:space="preserve"/>
            </w:r>
          </w:p>
        </w:tc>
      </w:tr>
      <w:tr>
        <w:tc>
          <w:tcPr>
            <w:tcMar>
              <w:top w:type="dxa" w:w="80"/>
              <w:left w:type="dxa" w:w="100"/>
              <w:bottom w:type="dxa" w:w="80"/>
              <w:right w:type="dxa" w:w="100"/>
            </w:tcMar>
          </w:tcPr>
          <w:p>
            <w:r>
              <w:t xml:space="preserve">Power Export (LU)</w:t>
            </w:r>
          </w:p>
        </w:tc>
        <w:tc>
          <w:tcPr>
            <w:tcMar>
              <w:top w:type="dxa" w:w="80"/>
              <w:left w:type="dxa" w:w="100"/>
              <w:bottom w:type="dxa" w:w="80"/>
              <w:right w:type="dxa" w:w="100"/>
            </w:tcMar>
          </w:tcPr>
          <w:p>
            <w:r>
              <w:t xml:space="preserve">38.32</w:t>
            </w:r>
          </w:p>
        </w:tc>
        <w:tc>
          <w:tcPr>
            <w:tcMar>
              <w:top w:type="dxa" w:w="80"/>
              <w:left w:type="dxa" w:w="100"/>
              <w:bottom w:type="dxa" w:w="80"/>
              <w:right w:type="dxa" w:w="100"/>
            </w:tcMar>
          </w:tcPr>
          <w:p>
            <w:r>
              <w:t xml:space="preserve">29.80</w:t>
            </w:r>
          </w:p>
        </w:tc>
        <w:tc>
          <w:tcPr>
            <w:tcMar>
              <w:top w:type="dxa" w:w="80"/>
              <w:left w:type="dxa" w:w="100"/>
              <w:bottom w:type="dxa" w:w="80"/>
              <w:right w:type="dxa" w:w="100"/>
            </w:tcMar>
          </w:tcPr>
          <w:p>
            <w:r>
              <w:t xml:space="preserve">68.12</w:t>
            </w:r>
          </w:p>
        </w:tc>
        <w:tc>
          <w:tcPr>
            <w:tcMar>
              <w:top w:type="dxa" w:w="80"/>
              <w:left w:type="dxa" w:w="100"/>
              <w:bottom w:type="dxa" w:w="80"/>
              <w:right w:type="dxa" w:w="100"/>
            </w:tcMar>
          </w:tcPr>
          <w:p>
            <w:r>
              <w:t xml:space="preserve"/>
            </w:r>
          </w:p>
        </w:tc>
      </w:tr>
      <w:tr>
        <w:tc>
          <w:tcPr>
            <w:tcMar>
              <w:top w:type="dxa" w:w="80"/>
              <w:left w:type="dxa" w:w="100"/>
              <w:bottom w:type="dxa" w:w="80"/>
              <w:right w:type="dxa" w:w="100"/>
            </w:tcMar>
          </w:tcPr>
          <w:p>
            <w:r>
              <w:t xml:space="preserve">Power PUF (%)</w:t>
            </w:r>
          </w:p>
        </w:tc>
        <w:tc>
          <w:tcPr>
            <w:tcMar>
              <w:top w:type="dxa" w:w="80"/>
              <w:left w:type="dxa" w:w="100"/>
              <w:bottom w:type="dxa" w:w="80"/>
              <w:right w:type="dxa" w:w="100"/>
            </w:tcMar>
          </w:tcPr>
          <w:p>
            <w:r>
              <w:t xml:space="preserve">95.68%</w:t>
            </w:r>
          </w:p>
        </w:tc>
        <w:tc>
          <w:tcPr>
            <w:tcMar>
              <w:top w:type="dxa" w:w="80"/>
              <w:left w:type="dxa" w:w="100"/>
              <w:bottom w:type="dxa" w:w="80"/>
              <w:right w:type="dxa" w:w="100"/>
            </w:tcMar>
          </w:tcPr>
          <w:p>
            <w:r>
              <w:t xml:space="preserve">77.59%</w:t>
            </w:r>
          </w:p>
        </w:tc>
        <w:tc>
          <w:tcPr>
            <w:tcMar>
              <w:top w:type="dxa" w:w="80"/>
              <w:left w:type="dxa" w:w="100"/>
              <w:bottom w:type="dxa" w:w="80"/>
              <w:right w:type="dxa" w:w="100"/>
            </w:tcMar>
          </w:tcPr>
          <w:p>
            <w:r>
              <w:t xml:space="preserve">87.33%</w:t>
            </w:r>
          </w:p>
        </w:tc>
        <w:tc>
          <w:tcPr>
            <w:tcMar>
              <w:top w:type="dxa" w:w="80"/>
              <w:left w:type="dxa" w:w="100"/>
              <w:bottom w:type="dxa" w:w="80"/>
              <w:right w:type="dxa" w:w="100"/>
            </w:tcMar>
          </w:tcPr>
          <w:p>
            <w:r>
              <w:t xml:space="preserve"/>
            </w:r>
          </w:p>
        </w:tc>
      </w:tr>
      <w:tr>
        <w:tc>
          <w:tcPr>
            <w:tcMar>
              <w:top w:type="dxa" w:w="80"/>
              <w:left w:type="dxa" w:w="100"/>
              <w:bottom w:type="dxa" w:w="80"/>
              <w:right w:type="dxa" w:w="100"/>
            </w:tcMar>
          </w:tcPr>
          <w:p>
            <w:r>
              <w:t xml:space="preserve">Distillery PUF (%)</w:t>
            </w:r>
          </w:p>
        </w:tc>
        <w:tc>
          <w:tcPr>
            <w:tcMar>
              <w:top w:type="dxa" w:w="80"/>
              <w:left w:type="dxa" w:w="100"/>
              <w:bottom w:type="dxa" w:w="80"/>
              <w:right w:type="dxa" w:w="100"/>
            </w:tcMar>
          </w:tcPr>
          <w:p>
            <w:r>
              <w:t xml:space="preserve">93.19%</w:t>
            </w:r>
          </w:p>
        </w:tc>
        <w:tc>
          <w:tcPr>
            <w:tcMar>
              <w:top w:type="dxa" w:w="80"/>
              <w:left w:type="dxa" w:w="100"/>
              <w:bottom w:type="dxa" w:w="80"/>
              <w:right w:type="dxa" w:w="100"/>
            </w:tcMar>
          </w:tcPr>
          <w:p>
            <w:r>
              <w:t xml:space="preserve">100.72%</w:t>
            </w:r>
          </w:p>
        </w:tc>
        <w:tc>
          <w:tcPr>
            <w:tcMar>
              <w:top w:type="dxa" w:w="80"/>
              <w:left w:type="dxa" w:w="100"/>
              <w:bottom w:type="dxa" w:w="80"/>
              <w:right w:type="dxa" w:w="100"/>
            </w:tcMar>
          </w:tcPr>
          <w:p>
            <w:r>
              <w:t xml:space="preserve">94.52%</w:t>
            </w:r>
          </w:p>
        </w:tc>
        <w:tc>
          <w:tcPr>
            <w:tcMar>
              <w:top w:type="dxa" w:w="80"/>
              <w:left w:type="dxa" w:w="100"/>
              <w:bottom w:type="dxa" w:w="80"/>
              <w:right w:type="dxa" w:w="100"/>
            </w:tcMar>
          </w:tcPr>
          <w:p>
            <w:r>
              <w:t xml:space="preserve"/>
            </w:r>
          </w:p>
        </w:tc>
      </w:tr>
      <w:tr>
        <w:tc>
          <w:tcPr>
            <w:tcMar>
              <w:top w:type="dxa" w:w="80"/>
              <w:left w:type="dxa" w:w="100"/>
              <w:bottom w:type="dxa" w:w="80"/>
              <w:right w:type="dxa" w:w="100"/>
            </w:tcMar>
          </w:tcPr>
          <w:p>
            <w:r>
              <w:t xml:space="preserve">Ethanol Produced (LL)</w:t>
            </w:r>
          </w:p>
        </w:tc>
        <w:tc>
          <w:tcPr>
            <w:tcMar>
              <w:top w:type="dxa" w:w="80"/>
              <w:left w:type="dxa" w:w="100"/>
              <w:bottom w:type="dxa" w:w="80"/>
              <w:right w:type="dxa" w:w="100"/>
            </w:tcMar>
          </w:tcPr>
          <w:p>
            <w:r>
              <w:t xml:space="preserve">8.03</w:t>
            </w:r>
          </w:p>
        </w:tc>
        <w:tc>
          <w:tcPr>
            <w:tcMar>
              <w:top w:type="dxa" w:w="80"/>
              <w:left w:type="dxa" w:w="100"/>
              <w:bottom w:type="dxa" w:w="80"/>
              <w:right w:type="dxa" w:w="100"/>
            </w:tcMar>
          </w:tcPr>
          <w:p>
            <w:r>
              <w:t xml:space="preserve">1.86</w:t>
            </w:r>
          </w:p>
        </w:tc>
        <w:tc>
          <w:tcPr>
            <w:tcMar>
              <w:top w:type="dxa" w:w="80"/>
              <w:left w:type="dxa" w:w="100"/>
              <w:bottom w:type="dxa" w:w="80"/>
              <w:right w:type="dxa" w:w="100"/>
            </w:tcMar>
          </w:tcPr>
          <w:p>
            <w:r>
              <w:t xml:space="preserve">17.62</w:t>
            </w:r>
          </w:p>
        </w:tc>
        <w:tc>
          <w:tcPr>
            <w:tcMar>
              <w:top w:type="dxa" w:w="80"/>
              <w:left w:type="dxa" w:w="100"/>
              <w:bottom w:type="dxa" w:w="80"/>
              <w:right w:type="dxa" w:w="100"/>
            </w:tcMar>
          </w:tcPr>
          <w:p>
            <w:r>
              <w:t xml:space="preserve"/>
            </w:r>
          </w:p>
        </w:tc>
      </w:tr>
      <w:tr>
        <w:tc>
          <w:tcPr>
            <w:tcMar>
              <w:top w:type="dxa" w:w="80"/>
              <w:left w:type="dxa" w:w="100"/>
              <w:bottom w:type="dxa" w:w="80"/>
              <w:right w:type="dxa" w:w="100"/>
            </w:tcMar>
          </w:tcPr>
          <w:p>
            <w:r>
              <w:t xml:space="preserve">Fermentation Efficiency (%)</w:t>
            </w:r>
          </w:p>
        </w:tc>
        <w:tc>
          <w:tcPr>
            <w:tcMar>
              <w:top w:type="dxa" w:w="80"/>
              <w:left w:type="dxa" w:w="100"/>
              <w:bottom w:type="dxa" w:w="80"/>
              <w:right w:type="dxa" w:w="100"/>
            </w:tcMar>
          </w:tcPr>
          <w:p>
            <w:r>
              <w:t xml:space="preserve">91.52%</w:t>
            </w:r>
          </w:p>
        </w:tc>
        <w:tc>
          <w:tcPr>
            <w:tcMar>
              <w:top w:type="dxa" w:w="80"/>
              <w:left w:type="dxa" w:w="100"/>
              <w:bottom w:type="dxa" w:w="80"/>
              <w:right w:type="dxa" w:w="100"/>
            </w:tcMar>
          </w:tcPr>
          <w:p>
            <w:r>
              <w:t xml:space="preserve">91.03%</w:t>
            </w:r>
          </w:p>
        </w:tc>
        <w:tc>
          <w:tcPr>
            <w:tcMar>
              <w:top w:type="dxa" w:w="80"/>
              <w:left w:type="dxa" w:w="100"/>
              <w:bottom w:type="dxa" w:w="80"/>
              <w:right w:type="dxa" w:w="100"/>
            </w:tcMar>
          </w:tcPr>
          <w:p>
            <w:r>
              <w:t xml:space="preserve"/>
            </w:r>
          </w:p>
        </w:tc>
        <w:tc>
          <w:tcPr>
            <w:tcMar>
              <w:top w:type="dxa" w:w="80"/>
              <w:left w:type="dxa" w:w="100"/>
              <w:bottom w:type="dxa" w:w="80"/>
              <w:right w:type="dxa" w:w="100"/>
            </w:tcMar>
          </w:tcPr>
          <w:p>
            <w:r>
              <w:t xml:space="preserve"/>
            </w:r>
          </w:p>
        </w:tc>
      </w:tr>
      <w:tr>
        <w:tc>
          <w:tcPr>
            <w:tcMar>
              <w:top w:type="dxa" w:w="80"/>
              <w:left w:type="dxa" w:w="100"/>
              <w:bottom w:type="dxa" w:w="80"/>
              <w:right w:type="dxa" w:w="100"/>
            </w:tcMar>
          </w:tcPr>
          <w:p>
            <w:r>
              <w:t xml:space="preserve">Steam Consumption (Kg/BL)</w:t>
            </w:r>
          </w:p>
        </w:tc>
        <w:tc>
          <w:tcPr>
            <w:tcMar>
              <w:top w:type="dxa" w:w="80"/>
              <w:left w:type="dxa" w:w="100"/>
              <w:bottom w:type="dxa" w:w="80"/>
              <w:right w:type="dxa" w:w="100"/>
            </w:tcMar>
          </w:tcPr>
          <w:p>
            <w:r>
              <w:t xml:space="preserve">4.20</w:t>
            </w:r>
          </w:p>
        </w:tc>
        <w:tc>
          <w:tcPr>
            <w:tcMar>
              <w:top w:type="dxa" w:w="80"/>
              <w:left w:type="dxa" w:w="100"/>
              <w:bottom w:type="dxa" w:w="80"/>
              <w:right w:type="dxa" w:w="100"/>
            </w:tcMar>
          </w:tcPr>
          <w:p>
            <w:r>
              <w:t xml:space="preserve">4.30</w:t>
            </w:r>
          </w:p>
        </w:tc>
        <w:tc>
          <w:tcPr>
            <w:tcMar>
              <w:top w:type="dxa" w:w="80"/>
              <w:left w:type="dxa" w:w="100"/>
              <w:bottom w:type="dxa" w:w="80"/>
              <w:right w:type="dxa" w:w="100"/>
            </w:tcMar>
          </w:tcPr>
          <w:p>
            <w:r>
              <w:t xml:space="preserve">4.87</w:t>
            </w:r>
          </w:p>
        </w:tc>
        <w:tc>
          <w:tcPr>
            <w:tcMar>
              <w:top w:type="dxa" w:w="80"/>
              <w:left w:type="dxa" w:w="100"/>
              <w:bottom w:type="dxa" w:w="80"/>
              <w:right w:type="dxa" w:w="100"/>
            </w:tcMar>
          </w:tcPr>
          <w:p>
            <w:r>
              <w:t xml:space="preserve"/>
            </w:r>
          </w:p>
        </w:tc>
      </w:tr>
      <w:tr>
        <w:tc>
          <w:tcPr>
            <w:tcMar>
              <w:top w:type="dxa" w:w="80"/>
              <w:left w:type="dxa" w:w="100"/>
              <w:bottom w:type="dxa" w:w="80"/>
              <w:right w:type="dxa" w:w="100"/>
            </w:tcMar>
          </w:tcPr>
          <w:p>
            <w:r>
              <w:t xml:space="preserve">Power Consumption (KW/T Cane)</w:t>
            </w:r>
          </w:p>
        </w:tc>
        <w:tc>
          <w:tcPr>
            <w:tcMar>
              <w:top w:type="dxa" w:w="80"/>
              <w:left w:type="dxa" w:w="100"/>
              <w:bottom w:type="dxa" w:w="80"/>
              <w:right w:type="dxa" w:w="100"/>
            </w:tcMar>
          </w:tcPr>
          <w:p>
            <w:r>
              <w:t xml:space="preserve">32.43</w:t>
            </w:r>
          </w:p>
        </w:tc>
        <w:tc>
          <w:tcPr>
            <w:tcMar>
              <w:top w:type="dxa" w:w="80"/>
              <w:left w:type="dxa" w:w="100"/>
              <w:bottom w:type="dxa" w:w="80"/>
              <w:right w:type="dxa" w:w="100"/>
            </w:tcMar>
          </w:tcPr>
          <w:p>
            <w:r>
              <w:t xml:space="preserve">32.61</w:t>
            </w:r>
          </w:p>
        </w:tc>
        <w:tc>
          <w:tcPr>
            <w:tcMar>
              <w:top w:type="dxa" w:w="80"/>
              <w:left w:type="dxa" w:w="100"/>
              <w:bottom w:type="dxa" w:w="80"/>
              <w:right w:type="dxa" w:w="100"/>
            </w:tcMar>
          </w:tcPr>
          <w:p>
            <w:r>
              <w:t xml:space="preserve">32.46</w:t>
            </w:r>
          </w:p>
        </w:tc>
        <w:tc>
          <w:tcPr>
            <w:tcMar>
              <w:top w:type="dxa" w:w="80"/>
              <w:left w:type="dxa" w:w="100"/>
              <w:bottom w:type="dxa" w:w="80"/>
              <w:right w:type="dxa" w:w="100"/>
            </w:tcMar>
          </w:tcPr>
          <w:p>
            <w:r>
              <w:t xml:space="preserve"/>
            </w:r>
          </w:p>
        </w:tc>
      </w:tr>
    </w:tbl>
    <w:p>
      <w:pPr>
        <w:spacing w:after="300"/>
      </w:pPr>
    </w:p>
    <w:p>
      <w:r>
        <w:rPr>
          <w:b/>
          <w:bCs/>
          <w:color w:val="006666"/>
          <w:sz w:val="24"/>
          <w:szCs w:val="24"/>
        </w:rPr>
        <w:t xml:space="preserve">TABLE B – Qualitative Discussion</w:t>
      </w:r>
    </w:p>
    <w:p>
      <w:pPr>
        <w:spacing w:after="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006666" w:color="auto" w:val="clear"/>
            <w:tcMar>
              <w:top w:type="dxa" w:w="100"/>
              <w:left w:type="dxa" w:w="100"/>
              <w:bottom w:type="dxa" w:w="100"/>
              <w:right w:type="dxa" w:w="100"/>
            </w:tcMar>
          </w:tcPr>
          <w:p>
            <w:pPr>
              <w:jc w:val="center"/>
            </w:pPr>
            <w:r>
              <w:rPr>
                <w:b/>
                <w:bCs/>
                <w:color w:val="FFFFFF"/>
              </w:rPr>
              <w:t xml:space="preserve">Area</w:t>
            </w:r>
          </w:p>
        </w:tc>
        <w:tc>
          <w:tcPr>
            <w:shd w:fill="006666" w:color="auto" w:val="clear"/>
            <w:tcMar>
              <w:top w:type="dxa" w:w="100"/>
              <w:left w:type="dxa" w:w="100"/>
              <w:bottom w:type="dxa" w:w="100"/>
              <w:right w:type="dxa" w:w="100"/>
            </w:tcMar>
          </w:tcPr>
          <w:p>
            <w:pPr>
              <w:jc w:val="center"/>
            </w:pPr>
            <w:r>
              <w:rPr>
                <w:b/>
                <w:bCs/>
                <w:color w:val="FFFFFF"/>
              </w:rPr>
              <w:t xml:space="preserve">Current Week Narrative</w:t>
            </w:r>
          </w:p>
        </w:tc>
        <w:tc>
          <w:tcPr>
            <w:shd w:fill="006666" w:color="auto" w:val="clear"/>
            <w:tcMar>
              <w:top w:type="dxa" w:w="100"/>
              <w:left w:type="dxa" w:w="100"/>
              <w:bottom w:type="dxa" w:w="100"/>
              <w:right w:type="dxa" w:w="100"/>
            </w:tcMar>
          </w:tcPr>
          <w:p>
            <w:pPr>
              <w:jc w:val="center"/>
            </w:pPr>
            <w:r>
              <w:rPr>
                <w:b/>
                <w:bCs/>
                <w:color w:val="FFFFFF"/>
              </w:rPr>
              <w:t xml:space="preserve">Change vs Last Week</w:t>
            </w:r>
          </w:p>
        </w:tc>
      </w:tr>
      <w:tr>
        <w:tc>
          <w:tcPr>
            <w:tcMar>
              <w:top w:type="dxa" w:w="80"/>
              <w:left w:type="dxa" w:w="100"/>
              <w:bottom w:type="dxa" w:w="80"/>
              <w:right w:type="dxa" w:w="100"/>
            </w:tcMar>
          </w:tcPr>
          <w:p>
            <w:r>
              <w:t xml:space="preserve">Engineering</w:t>
            </w:r>
          </w:p>
        </w:tc>
        <w:tc>
          <w:tcPr>
            <w:tcMar>
              <w:top w:type="dxa" w:w="80"/>
              <w:left w:type="dxa" w:w="100"/>
              <w:bottom w:type="dxa" w:w="80"/>
              <w:right w:type="dxa" w:w="100"/>
            </w:tcMar>
          </w:tcPr>
          <w:p>
            <w:r>
              <w:t xml:space="preserve">Capacity utilization including stoppage rose to 98.43%, downtime increased to 4.22 hrs due to shredder motor tripping and planned stoppage for shredder checking. Carbon brush replacement done. Critical spares procurement ongoing.</w:t>
            </w:r>
          </w:p>
        </w:tc>
        <w:tc>
          <w:tcPr>
            <w:tcMar>
              <w:top w:type="dxa" w:w="80"/>
              <w:left w:type="dxa" w:w="100"/>
              <w:bottom w:type="dxa" w:w="80"/>
              <w:right w:type="dxa" w:w="100"/>
            </w:tcMar>
          </w:tcPr>
          <w:p>
            <w:r>
              <w:t xml:space="preserve">Improved capacity utilization vs 70.90% last week. Downtime increased due to motor and shredder issues.</w:t>
            </w:r>
          </w:p>
        </w:tc>
      </w:tr>
      <w:tr>
        <w:tc>
          <w:tcPr>
            <w:tcMar>
              <w:top w:type="dxa" w:w="80"/>
              <w:left w:type="dxa" w:w="100"/>
              <w:bottom w:type="dxa" w:w="80"/>
              <w:right w:type="dxa" w:w="100"/>
            </w:tcMar>
          </w:tcPr>
          <w:p>
            <w:r>
              <w:t xml:space="preserve">Cane</w:t>
            </w:r>
          </w:p>
        </w:tc>
        <w:tc>
          <w:tcPr>
            <w:tcMar>
              <w:top w:type="dxa" w:w="80"/>
              <w:left w:type="dxa" w:w="100"/>
              <w:bottom w:type="dxa" w:w="80"/>
              <w:right w:type="dxa" w:w="100"/>
            </w:tcMar>
          </w:tcPr>
          <w:p>
            <w:r>
              <w:t xml:space="preserve">Daily indent rate held steady at 1.05-1.07 LQ. Cane purchased rate increased to 0.98 LQ. Gate indent maturity at 95%, center indent at 92%. Pol in cane stable at 10.99%.</w:t>
            </w:r>
          </w:p>
        </w:tc>
        <w:tc>
          <w:tcPr>
            <w:tcMar>
              <w:top w:type="dxa" w:w="80"/>
              <w:left w:type="dxa" w:w="100"/>
              <w:bottom w:type="dxa" w:w="80"/>
              <w:right w:type="dxa" w:w="100"/>
            </w:tcMar>
          </w:tcPr>
          <w:p>
            <w:r>
              <w:t xml:space="preserve">Indent maturity improved from last week with cane supply logistics stabilized.</w:t>
            </w:r>
          </w:p>
        </w:tc>
      </w:tr>
      <w:tr>
        <w:tc>
          <w:tcPr>
            <w:tcMar>
              <w:top w:type="dxa" w:w="80"/>
              <w:left w:type="dxa" w:w="100"/>
              <w:bottom w:type="dxa" w:w="80"/>
              <w:right w:type="dxa" w:w="100"/>
            </w:tcMar>
          </w:tcPr>
          <w:p>
            <w:r>
              <w:t xml:space="preserve">Production</w:t>
            </w:r>
          </w:p>
        </w:tc>
        <w:tc>
          <w:tcPr>
            <w:tcMar>
              <w:top w:type="dxa" w:w="80"/>
              <w:left w:type="dxa" w:w="100"/>
              <w:bottom w:type="dxa" w:w="80"/>
              <w:right w:type="dxa" w:w="100"/>
            </w:tcMar>
          </w:tcPr>
          <w:p>
            <w:r>
              <w:t xml:space="preserve">Sugar production at 0.48 LQ vs 0.12 LQ last week. Sugar bagging volumes increased significantly for RS and DS houses. Quality metrics stable and within targets.</w:t>
            </w:r>
          </w:p>
        </w:tc>
        <w:tc>
          <w:tcPr>
            <w:tcMar>
              <w:top w:type="dxa" w:w="80"/>
              <w:left w:type="dxa" w:w="100"/>
              <w:bottom w:type="dxa" w:w="80"/>
              <w:right w:type="dxa" w:w="100"/>
            </w:tcMar>
          </w:tcPr>
          <w:p>
            <w:r>
              <w:t xml:space="preserve">Sugar produced improved 4x vs last week. Bagging volumes increased on both houses.</w:t>
            </w:r>
          </w:p>
        </w:tc>
      </w:tr>
      <w:tr>
        <w:tc>
          <w:tcPr>
            <w:tcMar>
              <w:top w:type="dxa" w:w="80"/>
              <w:left w:type="dxa" w:w="100"/>
              <w:bottom w:type="dxa" w:w="80"/>
              <w:right w:type="dxa" w:w="100"/>
            </w:tcMar>
          </w:tcPr>
          <w:p>
            <w:r>
              <w:t xml:space="preserve">Power</w:t>
            </w:r>
          </w:p>
        </w:tc>
        <w:tc>
          <w:tcPr>
            <w:tcMar>
              <w:top w:type="dxa" w:w="80"/>
              <w:left w:type="dxa" w:w="100"/>
              <w:bottom w:type="dxa" w:w="80"/>
              <w:right w:type="dxa" w:w="100"/>
            </w:tcMar>
          </w:tcPr>
          <w:p>
            <w:r>
              <w:t xml:space="preserve">Power generation and export significantly increased. Boiler and turbine availability high. PLF metrics improved. Steam/fuel ratios maintained close to targets.</w:t>
            </w:r>
          </w:p>
        </w:tc>
        <w:tc>
          <w:tcPr>
            <w:tcMar>
              <w:top w:type="dxa" w:w="80"/>
              <w:left w:type="dxa" w:w="100"/>
              <w:bottom w:type="dxa" w:w="80"/>
              <w:right w:type="dxa" w:w="100"/>
            </w:tcMar>
          </w:tcPr>
          <w:p>
            <w:r>
              <w:t xml:space="preserve">Improved power generation and export with consistent plant availability.</w:t>
            </w:r>
          </w:p>
        </w:tc>
      </w:tr>
      <w:tr>
        <w:tc>
          <w:tcPr>
            <w:tcMar>
              <w:top w:type="dxa" w:w="80"/>
              <w:left w:type="dxa" w:w="100"/>
              <w:bottom w:type="dxa" w:w="80"/>
              <w:right w:type="dxa" w:w="100"/>
            </w:tcMar>
          </w:tcPr>
          <w:p>
            <w:r>
              <w:t xml:space="preserve">Distillery</w:t>
            </w:r>
          </w:p>
        </w:tc>
        <w:tc>
          <w:tcPr>
            <w:tcMar>
              <w:top w:type="dxa" w:w="80"/>
              <w:left w:type="dxa" w:w="100"/>
              <w:bottom w:type="dxa" w:w="80"/>
              <w:right w:type="dxa" w:w="100"/>
            </w:tcMar>
          </w:tcPr>
          <w:p>
            <w:r>
              <w:t xml:space="preserve">Ethanol production increased markedly to 8.03 LL from 1.86 LL last week. Downtime reduced to 2.58 hrs. Fermentation and distillation efficiencies stable. Feedstock syrup quality maintained.</w:t>
            </w:r>
          </w:p>
        </w:tc>
        <w:tc>
          <w:tcPr>
            <w:tcMar>
              <w:top w:type="dxa" w:w="80"/>
              <w:left w:type="dxa" w:w="100"/>
              <w:bottom w:type="dxa" w:w="80"/>
              <w:right w:type="dxa" w:w="100"/>
            </w:tcMar>
          </w:tcPr>
          <w:p>
            <w:r>
              <w:t xml:space="preserve">Substantial increase in ethanol production. Downtime improved drastically.</w:t>
            </w:r>
          </w:p>
        </w:tc>
      </w:tr>
      <w:tr>
        <w:tc>
          <w:tcPr>
            <w:tcMar>
              <w:top w:type="dxa" w:w="80"/>
              <w:left w:type="dxa" w:w="100"/>
              <w:bottom w:type="dxa" w:w="80"/>
              <w:right w:type="dxa" w:w="100"/>
            </w:tcMar>
          </w:tcPr>
          <w:p>
            <w:r>
              <w:t xml:space="preserve">Quality/EHS</w:t>
            </w:r>
          </w:p>
        </w:tc>
        <w:tc>
          <w:tcPr>
            <w:tcMar>
              <w:top w:type="dxa" w:w="80"/>
              <w:left w:type="dxa" w:w="100"/>
              <w:bottom w:type="dxa" w:w="80"/>
              <w:right w:type="dxa" w:w="100"/>
            </w:tcMar>
          </w:tcPr>
          <w:p>
            <w:r>
              <w:t xml:space="preserve">Pol in cane steady. ICUMSA values stable within range. Four safety and hazard incidents addressed and closed. Farmer call centre effectively resolved 11 issues.</w:t>
            </w:r>
          </w:p>
        </w:tc>
        <w:tc>
          <w:tcPr>
            <w:tcMar>
              <w:top w:type="dxa" w:w="80"/>
              <w:left w:type="dxa" w:w="100"/>
              <w:bottom w:type="dxa" w:w="80"/>
              <w:right w:type="dxa" w:w="100"/>
            </w:tcMar>
          </w:tcPr>
          <w:p>
            <w:r>
              <w:t xml:space="preserve">Quality stable and EHS activities effective. Farmer support functioning well.</w:t>
            </w:r>
          </w:p>
        </w:tc>
      </w:tr>
      <w:tr>
        <w:tc>
          <w:tcPr>
            <w:tcMar>
              <w:top w:type="dxa" w:w="80"/>
              <w:left w:type="dxa" w:w="100"/>
              <w:bottom w:type="dxa" w:w="80"/>
              <w:right w:type="dxa" w:w="100"/>
            </w:tcMar>
          </w:tcPr>
          <w:p>
            <w:r>
              <w:t xml:space="preserve">Capex</w:t>
            </w:r>
          </w:p>
        </w:tc>
        <w:tc>
          <w:tcPr>
            <w:tcMar>
              <w:top w:type="dxa" w:w="80"/>
              <w:left w:type="dxa" w:w="100"/>
              <w:bottom w:type="dxa" w:w="80"/>
              <w:right w:type="dxa" w:w="100"/>
            </w:tcMar>
          </w:tcPr>
          <w:p>
            <w:r>
              <w:t xml:space="preserve">Mud removal system installation at 30%. Pharma sugar reprocessing mostly complete. Other projects progressing as planned.</w:t>
            </w:r>
          </w:p>
        </w:tc>
        <w:tc>
          <w:tcPr>
            <w:tcMar>
              <w:top w:type="dxa" w:w="80"/>
              <w:left w:type="dxa" w:w="100"/>
              <w:bottom w:type="dxa" w:w="80"/>
              <w:right w:type="dxa" w:w="100"/>
            </w:tcMar>
          </w:tcPr>
          <w:p>
            <w:r>
              <w:t xml:space="preserve">Progressing well with active projects and some nearing completion.</w:t>
            </w:r>
          </w:p>
        </w:tc>
      </w:tr>
    </w:tbl>
    <w:p>
      <w:pPr>
        <w:spacing w:after="300"/>
      </w:pPr>
    </w:p>
    <w:p>
      <w:pPr>
        <w:jc w:val="center"/>
      </w:pPr>
      <w:r>
        <w:rPr>
          <w:color w:val="888888"/>
          <w:sz w:val="18"/>
          <w:szCs w:val="18"/>
        </w:rPr>
        <w:t xml:space="preserve">This review is based exclusively on numbers and narratives disclosed in the weekly PDF slides.</w:t>
      </w:r>
    </w:p>
    <w:p>
      <w:pPr>
        <w:spacing w:before="100"/>
        <w:jc w:val="center"/>
      </w:pPr>
      <w:r>
        <w:rPr>
          <w:color w:val="AAAAAA"/>
          <w:sz w:val="16"/>
          <w:szCs w:val="16"/>
        </w:rPr>
        <w:t xml:space="preserve">Note: This report is AI-generated and may not be fully accurate. Please review and validate the information before relying on it for decision-making.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2026-02-05T12:00:36.561Z</dcterms:created>
  <dcterms:modified xsi:type="dcterms:W3CDTF">2026-02-05T12:00:36.561Z</dcterms:modified>
</cp:coreProperties>
</file>

<file path=docProps/custom.xml><?xml version="1.0" encoding="utf-8"?>
<Properties xmlns="http://schemas.openxmlformats.org/officeDocument/2006/custom-properties" xmlns:vt="http://schemas.openxmlformats.org/officeDocument/2006/docPropsVTypes"/>
</file>