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6"/>
          <w:szCs w:val="36"/>
        </w:rPr>
        <w:t xml:space="preserve">WEEKLY LEADERSHIP REVIEW</w:t>
      </w:r>
    </w:p>
    <w:p>
      <w:pPr>
        <w:jc w:val="center"/>
      </w:pPr>
      <w:r>
        <w:rPr>
          <w:color w:val="444444"/>
          <w:sz w:val="28"/>
          <w:szCs w:val="28"/>
        </w:rPr>
        <w:t xml:space="preserve">Gobind Sugar Mill, Aira</w:t>
      </w:r>
    </w:p>
    <w:p>
      <w:pPr>
        <w:jc w:val="center"/>
      </w:pPr>
      <w:r>
        <w:rPr>
          <w:color w:val="666666"/>
          <w:sz w:val="20"/>
          <w:szCs w:val="20"/>
        </w:rPr>
        <w:t xml:space="preserve">Week: 31 Oct 2025 vs Previous Week (27 Dec 2025)</w:t>
      </w:r>
    </w:p>
    <w:p>
      <w:pPr>
        <w:jc w:val="center"/>
      </w:pPr>
      <w:r>
        <w:rPr>
          <w:color w:val="666666"/>
          <w:sz w:val="20"/>
          <w:szCs w:val="20"/>
        </w:rPr>
        <w:t xml:space="preserve">Season Days: undefined</w:t>
      </w:r>
    </w:p>
    <w:p>
      <w:pPr>
        <w:spacing w:after="300"/>
      </w:pPr>
    </w:p>
    <w:p>
      <w:pPr>
        <w:pBdr>
          <w:bottom w:val="single" w:color="1F4E78" w:sz="6" w:space="1"/>
        </w:pBdr>
      </w:pPr>
      <w:r>
        <w:rPr>
          <w:b/>
          <w:bCs/>
          <w:color w:val="1F4E78"/>
          <w:sz w:val="26"/>
          <w:szCs w:val="26"/>
        </w:rPr>
        <w:t xml:space="preserve">PART 1 – INSIGHT NARRATIVE</w:t>
      </w:r>
    </w:p>
    <w:p>
      <w:pPr>
        <w:spacing w:after="150"/>
      </w:pPr>
    </w:p>
    <w:p>
      <w:r>
        <w:rPr>
          <w:b/>
          <w:bCs/>
          <w:color w:val="2E75B5"/>
          <w:sz w:val="24"/>
          <w:szCs w:val="24"/>
        </w:rPr>
        <w:t xml:space="preserve">1. Executive Summary (Key Insights)</w:t>
      </w:r>
    </w:p>
    <w:p>
      <w:pPr>
        <w:pStyle w:val="ListParagraph"/>
        <w:numPr>
          <w:ilvl w:val="0"/>
          <w:numId w:val="1"/>
        </w:numPr>
        <w:spacing w:before="100"/>
      </w:pPr>
      <w:r>
        <w:rPr>
          <w:b/>
          <w:bCs/>
          <w:sz w:val="22"/>
          <w:szCs w:val="22"/>
        </w:rPr>
        <w:t xml:space="preserve">CRUSHING PERFORMANCE: </w:t>
      </w:r>
      <w:r>
        <w:rPr>
          <w:sz w:val="22"/>
          <w:szCs w:val="22"/>
        </w:rPr>
        <w:t xml:space="preserve">Current week total sugarcane crush at 4.25 LQ unchanged from last week. Crushing started on 25th October 2025, with successful operation establishment. Capacity utilization at 70.90% vs 70.90% last week.</w:t>
      </w:r>
    </w:p>
    <w:p>
      <w:pPr>
        <w:pStyle w:val="ListParagraph"/>
        <w:numPr>
          <w:ilvl w:val="0"/>
          <w:numId w:val="1"/>
        </w:numPr>
        <w:spacing w:before="100"/>
      </w:pPr>
      <w:r>
        <w:rPr>
          <w:b/>
          <w:bCs/>
          <w:sz w:val="22"/>
          <w:szCs w:val="22"/>
        </w:rPr>
        <w:t xml:space="preserve">RECOVERY: </w:t>
      </w:r>
      <w:r>
        <w:rPr>
          <w:sz w:val="22"/>
          <w:szCs w:val="22"/>
        </w:rPr>
        <w:t xml:space="preserve">Sugar recovery stable at 9.00% both current and last week.</w:t>
      </w:r>
    </w:p>
    <w:p>
      <w:pPr>
        <w:pStyle w:val="ListParagraph"/>
        <w:numPr>
          <w:ilvl w:val="0"/>
          <w:numId w:val="1"/>
        </w:numPr>
        <w:spacing w:before="100"/>
      </w:pPr>
      <w:r>
        <w:rPr>
          <w:b/>
          <w:bCs/>
          <w:sz w:val="22"/>
          <w:szCs w:val="22"/>
        </w:rPr>
        <w:t xml:space="preserve">LOSSES: </w:t>
      </w:r>
      <w:r>
        <w:rPr>
          <w:sz w:val="22"/>
          <w:szCs w:val="22"/>
        </w:rPr>
        <w:t xml:space="preserve">Total pol losses at 1.88% this week same as last week with breakdown Bagasse 0.55%, Filter Cake 0.08%, Molasses 1.08%, Unknown 0.17%.</w:t>
      </w:r>
    </w:p>
    <w:p>
      <w:pPr>
        <w:pStyle w:val="ListParagraph"/>
        <w:numPr>
          <w:ilvl w:val="0"/>
          <w:numId w:val="1"/>
        </w:numPr>
        <w:spacing w:before="100"/>
      </w:pPr>
      <w:r>
        <w:rPr>
          <w:b/>
          <w:bCs/>
          <w:sz w:val="22"/>
          <w:szCs w:val="22"/>
        </w:rPr>
        <w:t xml:space="preserve">POWER: </w:t>
      </w:r>
      <w:r>
        <w:rPr>
          <w:sz w:val="22"/>
          <w:szCs w:val="22"/>
        </w:rPr>
        <w:t xml:space="preserve">Power generation at 44.69 LU same as last week. Power export is 29.80 LU same as last week. Power consumption at 33.32% of generation.</w:t>
      </w:r>
    </w:p>
    <w:p>
      <w:pPr>
        <w:pStyle w:val="ListParagraph"/>
        <w:numPr>
          <w:ilvl w:val="0"/>
          <w:numId w:val="1"/>
        </w:numPr>
        <w:spacing w:before="100"/>
      </w:pPr>
      <w:r>
        <w:rPr>
          <w:b/>
          <w:bCs/>
          <w:sz w:val="22"/>
          <w:szCs w:val="22"/>
        </w:rPr>
        <w:t xml:space="preserve">DISTILLERY: </w:t>
      </w:r>
      <w:r>
        <w:rPr>
          <w:sz w:val="22"/>
          <w:szCs w:val="22"/>
        </w:rPr>
        <w:t xml:space="preserve">Ethanol production improved to 1.86 LL from 1.38 LL last week. Distillery Plant started 30th October 2025 after scheduled maintenance. Distillery PUF at 100.72% improved from 76.82%. Ethanol recovery-syrup at 5.97 BL/Qtl improved. Fermentation efficiency stable at 91.03%.</w:t>
      </w:r>
    </w:p>
    <w:p>
      <w:pPr>
        <w:pStyle w:val="ListParagraph"/>
        <w:numPr>
          <w:ilvl w:val="0"/>
          <w:numId w:val="1"/>
        </w:numPr>
        <w:spacing w:before="100"/>
      </w:pPr>
      <w:r>
        <w:rPr>
          <w:b/>
          <w:bCs/>
          <w:sz w:val="22"/>
          <w:szCs w:val="22"/>
        </w:rPr>
        <w:t xml:space="preserve">SUGAR QUALITY: </w:t>
      </w:r>
      <w:r>
        <w:rPr>
          <w:sz w:val="22"/>
          <w:szCs w:val="22"/>
        </w:rPr>
        <w:t xml:space="preserve">ICUMSA M-sugar RS at 30, within target &lt;30, stable from last week.</w:t>
      </w:r>
    </w:p>
    <w:p>
      <w:pPr>
        <w:pStyle w:val="ListParagraph"/>
        <w:numPr>
          <w:ilvl w:val="0"/>
          <w:numId w:val="1"/>
        </w:numPr>
        <w:spacing w:before="100"/>
      </w:pPr>
      <w:r>
        <w:rPr>
          <w:b/>
          <w:bCs/>
          <w:sz w:val="22"/>
          <w:szCs w:val="22"/>
        </w:rPr>
        <w:t xml:space="preserve">CAPEX / PROJECTS: </w:t>
      </w:r>
      <w:r>
        <w:rPr>
          <w:sz w:val="22"/>
          <w:szCs w:val="22"/>
        </w:rPr>
        <w:t xml:space="preserve">Significant progress with mill roller machining and supply planned end Nov'25, Rotary Screen refurbished and in operation. Electrical and Instrumentation capex progressing. Mud Removal System scaffolding and pan calandria works ongoing.</w:t>
      </w:r>
    </w:p>
    <w:p>
      <w:pPr>
        <w:pStyle w:val="ListParagraph"/>
        <w:numPr>
          <w:ilvl w:val="0"/>
          <w:numId w:val="1"/>
        </w:numPr>
        <w:spacing w:before="100"/>
      </w:pPr>
      <w:r>
        <w:rPr>
          <w:b/>
          <w:bCs/>
          <w:sz w:val="22"/>
          <w:szCs w:val="22"/>
        </w:rPr>
        <w:t xml:space="preserve">EHS &amp; SAFETY: </w:t>
      </w:r>
      <w:r>
        <w:rPr>
          <w:sz w:val="22"/>
          <w:szCs w:val="22"/>
        </w:rPr>
        <w:t xml:space="preserve">Multiple hazardous observations in distillery with corrective actions immediately taken and closed. Near-miss incidents reported and addressed.</w:t>
      </w:r>
    </w:p>
    <w:p>
      <w:pPr>
        <w:spacing w:after="150"/>
      </w:pPr>
    </w:p>
    <w:p>
      <w:pPr>
        <w:spacing w:before="200" w:after="100"/>
      </w:pPr>
      <w:r>
        <w:rPr>
          <w:b/>
          <w:bCs/>
          <w:color w:val="2E75B5"/>
          <w:sz w:val="22"/>
          <w:szCs w:val="22"/>
        </w:rPr>
        <w:t xml:space="preserve">2. Overall Performance</w:t>
      </w:r>
    </w:p>
    <w:p>
      <w:pPr>
        <w:spacing w:after="100"/>
      </w:pPr>
      <w:r>
        <w:t xml:space="preserve">Operations running successfully since 25th Oct 2025 with stable crushing, power and distillery performance. Maintenance and commissioning activities progressing as planned. Quality parameters within targets and losses stable.</w:t>
      </w:r>
    </w:p>
    <w:p>
      <w:pPr>
        <w:spacing w:before="200" w:after="100"/>
      </w:pPr>
      <w:r>
        <w:rPr>
          <w:b/>
          <w:bCs/>
          <w:color w:val="2E75B5"/>
          <w:sz w:val="22"/>
          <w:szCs w:val="22"/>
        </w:rPr>
        <w:t xml:space="preserve">3. Benchmark &amp; Comparative Position</w:t>
      </w:r>
    </w:p>
    <w:p>
      <w:pPr>
        <w:spacing w:after="100"/>
      </w:pPr>
      <w:r>
        <w:t xml:space="preserve">Current 6-day capacity utilization at 70.90% vs target 94.71%. Recovery at 9.00% vs target 10.60%. Power consumption KW/T Cane at 32.61 vs target 31.5-32. Total losses lower than historical season average at 1.88%.</w:t>
      </w:r>
    </w:p>
    <w:p>
      <w:pPr>
        <w:spacing w:before="200" w:after="100"/>
      </w:pPr>
      <w:r>
        <w:rPr>
          <w:b/>
          <w:bCs/>
          <w:color w:val="2E75B5"/>
          <w:sz w:val="22"/>
          <w:szCs w:val="22"/>
        </w:rPr>
        <w:t xml:space="preserve">4. Cane Planning &amp; Control</w:t>
      </w:r>
    </w:p>
    <w:p>
      <w:pPr>
        <w:spacing w:after="100"/>
      </w:pPr>
      <w:r>
        <w:t xml:space="preserve">Daily indent at 1.56 LQ vs target requirement; gate indent maturity 50%, center indent 65%. Pol in cane at 10.89%. Vehicle holding times vary across centers with issues in bottom 10 centers due to disputes, transportation and labor problems.</w:t>
      </w:r>
    </w:p>
    <w:p>
      <w:pPr>
        <w:spacing w:before="200" w:after="100"/>
      </w:pPr>
      <w:r>
        <w:rPr>
          <w:b/>
          <w:bCs/>
          <w:color w:val="2E75B5"/>
          <w:sz w:val="22"/>
          <w:szCs w:val="22"/>
        </w:rPr>
        <w:t xml:space="preserve">5. Engineering &amp; Milling Performance</w:t>
      </w:r>
    </w:p>
    <w:p>
      <w:pPr>
        <w:spacing w:after="100"/>
      </w:pPr>
      <w:r>
        <w:t xml:space="preserve">Cane crushed 4.25 LQ for week with 98.68% hours utilized. Downtime low at 1.54 hrs. Pol % bagasse high at 1.96% above target. Power consumption marginally above target. Major planned critical spare procurements ongoing.</w:t>
      </w:r>
    </w:p>
    <w:p>
      <w:pPr>
        <w:spacing w:before="200" w:after="100"/>
      </w:pPr>
      <w:r>
        <w:rPr>
          <w:b/>
          <w:bCs/>
          <w:color w:val="2E75B5"/>
          <w:sz w:val="22"/>
          <w:szCs w:val="22"/>
        </w:rPr>
        <w:t xml:space="preserve">6. Production Performance</w:t>
      </w:r>
    </w:p>
    <w:p>
      <w:pPr>
        <w:spacing w:after="100"/>
      </w:pPr>
      <w:r>
        <w:t xml:space="preserve">Sugar production stable at 0.12 LQ. Sugar bagging quantities reported. DS house started 29th Oct, operation progressing. Improvements in R3 pan and mud removal system. Recovery stable.</w:t>
      </w:r>
    </w:p>
    <w:p>
      <w:pPr>
        <w:spacing w:before="200" w:after="100"/>
      </w:pPr>
      <w:r>
        <w:rPr>
          <w:b/>
          <w:bCs/>
          <w:color w:val="2E75B5"/>
          <w:sz w:val="22"/>
          <w:szCs w:val="22"/>
        </w:rPr>
        <w:t xml:space="preserve">7. Power Plant Performance</w:t>
      </w:r>
    </w:p>
    <w:p>
      <w:pPr>
        <w:spacing w:after="100"/>
      </w:pPr>
      <w:r>
        <w:t xml:space="preserve">30.85 MW co-gen plant operating at 95.16% PLF. 70 TPH boiler started. Stoppage in 35 TPH boiler rectified. Power consumption per ton cane at 32.61 KWH, higher than target. Aux consumption within limits.</w:t>
      </w:r>
    </w:p>
    <w:p>
      <w:pPr>
        <w:spacing w:before="200" w:after="100"/>
      </w:pPr>
      <w:r>
        <w:rPr>
          <w:b/>
          <w:bCs/>
          <w:color w:val="2E75B5"/>
          <w:sz w:val="22"/>
          <w:szCs w:val="22"/>
        </w:rPr>
        <w:t xml:space="preserve">8. Distillery Performance</w:t>
      </w:r>
    </w:p>
    <w:p>
      <w:pPr>
        <w:spacing w:after="100"/>
      </w:pPr>
      <w:r>
        <w:t xml:space="preserve">Distillery restarted 30th Oct. Capacity utilization 100.72%. Ethanol production increased to 1.86 LL. Efficiency indicators (fermentation 91.03%, distillation 98.63%) stable or improving. Feedstock syrup quality good.</w:t>
      </w:r>
    </w:p>
    <w:p>
      <w:pPr>
        <w:spacing w:before="200" w:after="100"/>
      </w:pPr>
      <w:r>
        <w:rPr>
          <w:b/>
          <w:bCs/>
          <w:color w:val="2E75B5"/>
          <w:sz w:val="22"/>
          <w:szCs w:val="22"/>
        </w:rPr>
        <w:t xml:space="preserve">9. Quality Control &amp; EHS</w:t>
      </w:r>
    </w:p>
    <w:p>
      <w:pPr>
        <w:spacing w:after="100"/>
      </w:pPr>
      <w:r>
        <w:t xml:space="preserve">Bagasse pol and moisture marginally above target. Sugar quality ICUMSA within targets. Zero reportable accidents. Hazard observations been managed proactively.</w:t>
      </w:r>
    </w:p>
    <w:p>
      <w:pPr>
        <w:spacing w:after="150"/>
      </w:pPr>
    </w:p>
    <w:p>
      <w:r>
        <w:rPr>
          <w:b/>
          <w:bCs/>
          <w:color w:val="C00000"/>
          <w:sz w:val="24"/>
          <w:szCs w:val="24"/>
        </w:rPr>
        <w:t xml:space="preserve">Risks &amp; Watch-outs for the Coming Week</w:t>
      </w:r>
    </w:p>
    <w:p>
      <w:pPr>
        <w:pStyle w:val="ListParagraph"/>
        <w:numPr>
          <w:ilvl w:val="0"/>
          <w:numId w:val="1"/>
        </w:numPr>
        <w:spacing w:before="80"/>
      </w:pPr>
      <w:r>
        <w:t xml:space="preserve">Downtime in 4 MW TG set due to seal box leakage caused 3 hours outage.</w:t>
      </w:r>
    </w:p>
    <w:p>
      <w:pPr>
        <w:pStyle w:val="ListParagraph"/>
        <w:numPr>
          <w:ilvl w:val="0"/>
          <w:numId w:val="1"/>
        </w:numPr>
        <w:spacing w:before="80"/>
      </w:pPr>
      <w:r>
        <w:t xml:space="preserve">High pol in bagasse 1.96% above target 1.65-1.70%.</w:t>
      </w:r>
    </w:p>
    <w:p>
      <w:pPr>
        <w:pStyle w:val="ListParagraph"/>
        <w:numPr>
          <w:ilvl w:val="0"/>
          <w:numId w:val="1"/>
        </w:numPr>
        <w:spacing w:before="80"/>
      </w:pPr>
      <w:r>
        <w:t xml:space="preserve">Vehicle holding time and transportation issues persist in certain centers impacting cane supply.</w:t>
      </w:r>
    </w:p>
    <w:p>
      <w:pPr>
        <w:pStyle w:val="ListParagraph"/>
        <w:numPr>
          <w:ilvl w:val="0"/>
          <w:numId w:val="1"/>
        </w:numPr>
        <w:spacing w:before="80"/>
      </w:pPr>
      <w:r>
        <w:t xml:space="preserve">Ongoing capex delivery delays (e.g. mill roller spare) require close monitoring.</w:t>
      </w:r>
    </w:p>
    <w:p>
      <w:pPr>
        <w:spacing w:after="300"/>
      </w:pPr>
    </w:p>
    <w:p>
      <w:r>
        <w:rPr>
          <w:b/>
          <w:bCs/>
          <w:color w:val="006666"/>
          <w:sz w:val="24"/>
          <w:szCs w:val="24"/>
        </w:rPr>
        <w:t xml:space="preserve">TABLE A – Quantitative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KPI</w:t>
            </w:r>
          </w:p>
        </w:tc>
        <w:tc>
          <w:tcPr>
            <w:shd w:fill="006666" w:color="auto" w:val="clear"/>
            <w:tcMar>
              <w:top w:type="dxa" w:w="100"/>
              <w:left w:type="dxa" w:w="100"/>
              <w:bottom w:type="dxa" w:w="100"/>
              <w:right w:type="dxa" w:w="100"/>
            </w:tcMar>
          </w:tcPr>
          <w:p>
            <w:pPr>
              <w:jc w:val="center"/>
            </w:pPr>
            <w:r>
              <w:rPr>
                <w:b/>
                <w:bCs/>
                <w:color w:val="FFFFFF"/>
              </w:rPr>
              <w:t xml:space="preserve">Current Week</w:t>
            </w:r>
          </w:p>
        </w:tc>
        <w:tc>
          <w:tcPr>
            <w:shd w:fill="006666" w:color="auto" w:val="clear"/>
            <w:tcMar>
              <w:top w:type="dxa" w:w="100"/>
              <w:left w:type="dxa" w:w="100"/>
              <w:bottom w:type="dxa" w:w="100"/>
              <w:right w:type="dxa" w:w="100"/>
            </w:tcMar>
          </w:tcPr>
          <w:p>
            <w:pPr>
              <w:jc w:val="center"/>
            </w:pPr>
            <w:r>
              <w:rPr>
                <w:b/>
                <w:bCs/>
                <w:color w:val="FFFFFF"/>
              </w:rPr>
              <w:t xml:space="preserve">Last Week</w:t>
            </w:r>
          </w:p>
        </w:tc>
        <w:tc>
          <w:tcPr>
            <w:shd w:fill="006666" w:color="auto" w:val="clear"/>
            <w:tcMar>
              <w:top w:type="dxa" w:w="100"/>
              <w:left w:type="dxa" w:w="100"/>
              <w:bottom w:type="dxa" w:w="100"/>
              <w:right w:type="dxa" w:w="100"/>
            </w:tcMar>
          </w:tcPr>
          <w:p>
            <w:pPr>
              <w:jc w:val="center"/>
            </w:pPr>
            <w:r>
              <w:rPr>
                <w:b/>
                <w:bCs/>
                <w:color w:val="FFFFFF"/>
              </w:rPr>
              <w:t xml:space="preserve">Till Date</w:t>
            </w:r>
          </w:p>
        </w:tc>
        <w:tc>
          <w:tcPr>
            <w:shd w:fill="006666" w:color="auto" w:val="clear"/>
            <w:tcMar>
              <w:top w:type="dxa" w:w="100"/>
              <w:left w:type="dxa" w:w="100"/>
              <w:bottom w:type="dxa" w:w="100"/>
              <w:right w:type="dxa" w:w="100"/>
            </w:tcMar>
          </w:tcPr>
          <w:p>
            <w:pPr>
              <w:jc w:val="center"/>
            </w:pPr>
            <w:r>
              <w:rPr>
                <w:b/>
                <w:bCs/>
                <w:color w:val="FFFFFF"/>
              </w:rPr>
              <w:t xml:space="preserve">WoW Change</w:t>
            </w:r>
          </w:p>
        </w:tc>
      </w:tr>
      <w:tr>
        <w:tc>
          <w:tcPr>
            <w:tcMar>
              <w:top w:type="dxa" w:w="80"/>
              <w:left w:type="dxa" w:w="100"/>
              <w:bottom w:type="dxa" w:w="80"/>
              <w:right w:type="dxa" w:w="100"/>
            </w:tcMar>
          </w:tcPr>
          <w:p>
            <w:r>
              <w:t xml:space="preserve">Cane Crushed (LQ)</w:t>
            </w:r>
          </w:p>
        </w:tc>
        <w:tc>
          <w:tcPr>
            <w:tcMar>
              <w:top w:type="dxa" w:w="80"/>
              <w:left w:type="dxa" w:w="100"/>
              <w:bottom w:type="dxa" w:w="80"/>
              <w:right w:type="dxa" w:w="100"/>
            </w:tcMar>
          </w:tcPr>
          <w:p>
            <w:r>
              <w:t xml:space="preserve">4.25</w:t>
            </w:r>
          </w:p>
        </w:tc>
        <w:tc>
          <w:tcPr>
            <w:tcMar>
              <w:top w:type="dxa" w:w="80"/>
              <w:left w:type="dxa" w:w="100"/>
              <w:bottom w:type="dxa" w:w="80"/>
              <w:right w:type="dxa" w:w="100"/>
            </w:tcMar>
          </w:tcPr>
          <w:p>
            <w:r>
              <w:t xml:space="preserve">4.25</w:t>
            </w:r>
          </w:p>
        </w:tc>
        <w:tc>
          <w:tcPr>
            <w:tcMar>
              <w:top w:type="dxa" w:w="80"/>
              <w:left w:type="dxa" w:w="100"/>
              <w:bottom w:type="dxa" w:w="80"/>
              <w:right w:type="dxa" w:w="100"/>
            </w:tcMar>
          </w:tcPr>
          <w:p>
            <w:r>
              <w:t xml:space="preserve">4.25</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Sugar Recovery (%)</w:t>
            </w:r>
          </w:p>
        </w:tc>
        <w:tc>
          <w:tcPr>
            <w:tcMar>
              <w:top w:type="dxa" w:w="80"/>
              <w:left w:type="dxa" w:w="100"/>
              <w:bottom w:type="dxa" w:w="80"/>
              <w:right w:type="dxa" w:w="100"/>
            </w:tcMar>
          </w:tcPr>
          <w:p>
            <w:r>
              <w:t xml:space="preserve">9.00%</w:t>
            </w:r>
          </w:p>
        </w:tc>
        <w:tc>
          <w:tcPr>
            <w:tcMar>
              <w:top w:type="dxa" w:w="80"/>
              <w:left w:type="dxa" w:w="100"/>
              <w:bottom w:type="dxa" w:w="80"/>
              <w:right w:type="dxa" w:w="100"/>
            </w:tcMar>
          </w:tcPr>
          <w:p>
            <w:r>
              <w:t xml:space="preserve">9.00%</w:t>
            </w:r>
          </w:p>
        </w:tc>
        <w:tc>
          <w:tcPr>
            <w:tcMar>
              <w:top w:type="dxa" w:w="80"/>
              <w:left w:type="dxa" w:w="100"/>
              <w:bottom w:type="dxa" w:w="80"/>
              <w:right w:type="dxa" w:w="100"/>
            </w:tcMar>
          </w:tcPr>
          <w:p>
            <w:r>
              <w:t xml:space="preserve">9.00%</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Sugar Produced (LQ)</w:t>
            </w:r>
          </w:p>
        </w:tc>
        <w:tc>
          <w:tcPr>
            <w:tcMar>
              <w:top w:type="dxa" w:w="80"/>
              <w:left w:type="dxa" w:w="100"/>
              <w:bottom w:type="dxa" w:w="80"/>
              <w:right w:type="dxa" w:w="100"/>
            </w:tcMar>
          </w:tcPr>
          <w:p>
            <w:r>
              <w:t xml:space="preserve">0.12</w:t>
            </w:r>
          </w:p>
        </w:tc>
        <w:tc>
          <w:tcPr>
            <w:tcMar>
              <w:top w:type="dxa" w:w="80"/>
              <w:left w:type="dxa" w:w="100"/>
              <w:bottom w:type="dxa" w:w="80"/>
              <w:right w:type="dxa" w:w="100"/>
            </w:tcMar>
          </w:tcPr>
          <w:p>
            <w:r>
              <w:t xml:space="preserve">0.12</w:t>
            </w:r>
          </w:p>
        </w:tc>
        <w:tc>
          <w:tcPr>
            <w:tcMar>
              <w:top w:type="dxa" w:w="80"/>
              <w:left w:type="dxa" w:w="100"/>
              <w:bottom w:type="dxa" w:w="80"/>
              <w:right w:type="dxa" w:w="100"/>
            </w:tcMar>
          </w:tcPr>
          <w:p>
            <w:r>
              <w:t xml:space="preserve">0.12</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Capacity Utilization (%)</w:t>
            </w:r>
          </w:p>
        </w:tc>
        <w:tc>
          <w:tcPr>
            <w:tcMar>
              <w:top w:type="dxa" w:w="80"/>
              <w:left w:type="dxa" w:w="100"/>
              <w:bottom w:type="dxa" w:w="80"/>
              <w:right w:type="dxa" w:w="100"/>
            </w:tcMar>
          </w:tcPr>
          <w:p>
            <w:r>
              <w:t xml:space="preserve">70.90%</w:t>
            </w:r>
          </w:p>
        </w:tc>
        <w:tc>
          <w:tcPr>
            <w:tcMar>
              <w:top w:type="dxa" w:w="80"/>
              <w:left w:type="dxa" w:w="100"/>
              <w:bottom w:type="dxa" w:w="80"/>
              <w:right w:type="dxa" w:w="100"/>
            </w:tcMar>
          </w:tcPr>
          <w:p>
            <w:r>
              <w:t xml:space="preserve">70.90%</w:t>
            </w:r>
          </w:p>
        </w:tc>
        <w:tc>
          <w:tcPr>
            <w:tcMar>
              <w:top w:type="dxa" w:w="80"/>
              <w:left w:type="dxa" w:w="100"/>
              <w:bottom w:type="dxa" w:w="80"/>
              <w:right w:type="dxa" w:w="100"/>
            </w:tcMar>
          </w:tcPr>
          <w:p>
            <w:r>
              <w:t xml:space="preserve">70.90%</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Total Losses (%)</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Pol % Bagasse</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Bagasse Moisture %</w:t>
            </w:r>
          </w:p>
        </w:tc>
        <w:tc>
          <w:tcPr>
            <w:tcMar>
              <w:top w:type="dxa" w:w="80"/>
              <w:left w:type="dxa" w:w="100"/>
              <w:bottom w:type="dxa" w:w="80"/>
              <w:right w:type="dxa" w:w="100"/>
            </w:tcMar>
          </w:tcPr>
          <w:p>
            <w:r>
              <w:t xml:space="preserve">50.52%</w:t>
            </w:r>
          </w:p>
        </w:tc>
        <w:tc>
          <w:tcPr>
            <w:tcMar>
              <w:top w:type="dxa" w:w="80"/>
              <w:left w:type="dxa" w:w="100"/>
              <w:bottom w:type="dxa" w:w="80"/>
              <w:right w:type="dxa" w:w="100"/>
            </w:tcMar>
          </w:tcPr>
          <w:p>
            <w:r>
              <w:t xml:space="preserve">50.52%</w:t>
            </w:r>
          </w:p>
        </w:tc>
        <w:tc>
          <w:tcPr>
            <w:tcMar>
              <w:top w:type="dxa" w:w="80"/>
              <w:left w:type="dxa" w:w="100"/>
              <w:bottom w:type="dxa" w:w="80"/>
              <w:right w:type="dxa" w:w="100"/>
            </w:tcMar>
          </w:tcPr>
          <w:p>
            <w:r>
              <w:t xml:space="preserve">50.52%</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Power Generation (LU)</w:t>
            </w:r>
          </w:p>
        </w:tc>
        <w:tc>
          <w:tcPr>
            <w:tcMar>
              <w:top w:type="dxa" w:w="80"/>
              <w:left w:type="dxa" w:w="100"/>
              <w:bottom w:type="dxa" w:w="80"/>
              <w:right w:type="dxa" w:w="100"/>
            </w:tcMar>
          </w:tcPr>
          <w:p>
            <w:r>
              <w:t xml:space="preserve">44.69</w:t>
            </w:r>
          </w:p>
        </w:tc>
        <w:tc>
          <w:tcPr>
            <w:tcMar>
              <w:top w:type="dxa" w:w="80"/>
              <w:left w:type="dxa" w:w="100"/>
              <w:bottom w:type="dxa" w:w="80"/>
              <w:right w:type="dxa" w:w="100"/>
            </w:tcMar>
          </w:tcPr>
          <w:p>
            <w:r>
              <w:t xml:space="preserve">44.69</w:t>
            </w:r>
          </w:p>
        </w:tc>
        <w:tc>
          <w:tcPr>
            <w:tcMar>
              <w:top w:type="dxa" w:w="80"/>
              <w:left w:type="dxa" w:w="100"/>
              <w:bottom w:type="dxa" w:w="80"/>
              <w:right w:type="dxa" w:w="100"/>
            </w:tcMar>
          </w:tcPr>
          <w:p>
            <w:r>
              <w:t xml:space="preserve">44.69</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Power Export (LU)</w:t>
            </w:r>
          </w:p>
        </w:tc>
        <w:tc>
          <w:tcPr>
            <w:tcMar>
              <w:top w:type="dxa" w:w="80"/>
              <w:left w:type="dxa" w:w="100"/>
              <w:bottom w:type="dxa" w:w="80"/>
              <w:right w:type="dxa" w:w="100"/>
            </w:tcMar>
          </w:tcPr>
          <w:p>
            <w:r>
              <w:t xml:space="preserve">29.80</w:t>
            </w:r>
          </w:p>
        </w:tc>
        <w:tc>
          <w:tcPr>
            <w:tcMar>
              <w:top w:type="dxa" w:w="80"/>
              <w:left w:type="dxa" w:w="100"/>
              <w:bottom w:type="dxa" w:w="80"/>
              <w:right w:type="dxa" w:w="100"/>
            </w:tcMar>
          </w:tcPr>
          <w:p>
            <w:r>
              <w:t xml:space="preserve">29.80</w:t>
            </w:r>
          </w:p>
        </w:tc>
        <w:tc>
          <w:tcPr>
            <w:tcMar>
              <w:top w:type="dxa" w:w="80"/>
              <w:left w:type="dxa" w:w="100"/>
              <w:bottom w:type="dxa" w:w="80"/>
              <w:right w:type="dxa" w:w="100"/>
            </w:tcMar>
          </w:tcPr>
          <w:p>
            <w:r>
              <w:t xml:space="preserve">29.80</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Power Consumption (% of Gen.)</w:t>
            </w:r>
          </w:p>
        </w:tc>
        <w:tc>
          <w:tcPr>
            <w:tcMar>
              <w:top w:type="dxa" w:w="80"/>
              <w:left w:type="dxa" w:w="100"/>
              <w:bottom w:type="dxa" w:w="80"/>
              <w:right w:type="dxa" w:w="100"/>
            </w:tcMar>
          </w:tcPr>
          <w:p>
            <w:r>
              <w:t xml:space="preserve">33.32%</w:t>
            </w:r>
          </w:p>
        </w:tc>
        <w:tc>
          <w:tcPr>
            <w:tcMar>
              <w:top w:type="dxa" w:w="80"/>
              <w:left w:type="dxa" w:w="100"/>
              <w:bottom w:type="dxa" w:w="80"/>
              <w:right w:type="dxa" w:w="100"/>
            </w:tcMar>
          </w:tcPr>
          <w:p>
            <w:r>
              <w:t xml:space="preserve">33.32%</w:t>
            </w:r>
          </w:p>
        </w:tc>
        <w:tc>
          <w:tcPr>
            <w:tcMar>
              <w:top w:type="dxa" w:w="80"/>
              <w:left w:type="dxa" w:w="100"/>
              <w:bottom w:type="dxa" w:w="80"/>
              <w:right w:type="dxa" w:w="100"/>
            </w:tcMar>
          </w:tcPr>
          <w:p>
            <w:r>
              <w:t xml:space="preserve">33.32%</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Distillery Production (LL)</w:t>
            </w:r>
          </w:p>
        </w:tc>
        <w:tc>
          <w:tcPr>
            <w:tcMar>
              <w:top w:type="dxa" w:w="80"/>
              <w:left w:type="dxa" w:w="100"/>
              <w:bottom w:type="dxa" w:w="80"/>
              <w:right w:type="dxa" w:w="100"/>
            </w:tcMar>
          </w:tcPr>
          <w:p>
            <w:r>
              <w:t xml:space="preserve">1.86</w:t>
            </w:r>
          </w:p>
        </w:tc>
        <w:tc>
          <w:tcPr>
            <w:tcMar>
              <w:top w:type="dxa" w:w="80"/>
              <w:left w:type="dxa" w:w="100"/>
              <w:bottom w:type="dxa" w:w="80"/>
              <w:right w:type="dxa" w:w="100"/>
            </w:tcMar>
          </w:tcPr>
          <w:p>
            <w:r>
              <w:t xml:space="preserve">1.38</w:t>
            </w:r>
          </w:p>
        </w:tc>
        <w:tc>
          <w:tcPr>
            <w:tcMar>
              <w:top w:type="dxa" w:w="80"/>
              <w:left w:type="dxa" w:w="100"/>
              <w:bottom w:type="dxa" w:w="80"/>
              <w:right w:type="dxa" w:w="100"/>
            </w:tcMar>
          </w:tcPr>
          <w:p>
            <w:r>
              <w:t xml:space="preserve">9.60</w:t>
            </w:r>
          </w:p>
        </w:tc>
        <w:tc>
          <w:tcPr>
            <w:tcMar>
              <w:top w:type="dxa" w:w="80"/>
              <w:left w:type="dxa" w:w="100"/>
              <w:bottom w:type="dxa" w:w="80"/>
              <w:right w:type="dxa" w:w="100"/>
            </w:tcMar>
          </w:tcPr>
          <w:p>
            <w:r>
              <w:t xml:space="preserve">Up</w:t>
            </w:r>
          </w:p>
        </w:tc>
      </w:tr>
      <w:tr>
        <w:tc>
          <w:tcPr>
            <w:tcMar>
              <w:top w:type="dxa" w:w="80"/>
              <w:left w:type="dxa" w:w="100"/>
              <w:bottom w:type="dxa" w:w="80"/>
              <w:right w:type="dxa" w:w="100"/>
            </w:tcMar>
          </w:tcPr>
          <w:p>
            <w:r>
              <w:t xml:space="preserve">Distillery PUF (%)</w:t>
            </w:r>
          </w:p>
        </w:tc>
        <w:tc>
          <w:tcPr>
            <w:tcMar>
              <w:top w:type="dxa" w:w="80"/>
              <w:left w:type="dxa" w:w="100"/>
              <w:bottom w:type="dxa" w:w="80"/>
              <w:right w:type="dxa" w:w="100"/>
            </w:tcMar>
          </w:tcPr>
          <w:p>
            <w:r>
              <w:t xml:space="preserve">100.72%</w:t>
            </w:r>
          </w:p>
        </w:tc>
        <w:tc>
          <w:tcPr>
            <w:tcMar>
              <w:top w:type="dxa" w:w="80"/>
              <w:left w:type="dxa" w:w="100"/>
              <w:bottom w:type="dxa" w:w="80"/>
              <w:right w:type="dxa" w:w="100"/>
            </w:tcMar>
          </w:tcPr>
          <w:p>
            <w:r>
              <w:t xml:space="preserve">76.82%</w:t>
            </w:r>
          </w:p>
        </w:tc>
        <w:tc>
          <w:tcPr>
            <w:tcMar>
              <w:top w:type="dxa" w:w="80"/>
              <w:left w:type="dxa" w:w="100"/>
              <w:bottom w:type="dxa" w:w="80"/>
              <w:right w:type="dxa" w:w="100"/>
            </w:tcMar>
          </w:tcPr>
          <w:p>
            <w:r>
              <w:t xml:space="preserve">71.95%</w:t>
            </w:r>
          </w:p>
        </w:tc>
        <w:tc>
          <w:tcPr>
            <w:tcMar>
              <w:top w:type="dxa" w:w="80"/>
              <w:left w:type="dxa" w:w="100"/>
              <w:bottom w:type="dxa" w:w="80"/>
              <w:right w:type="dxa" w:w="100"/>
            </w:tcMar>
          </w:tcPr>
          <w:p>
            <w:r>
              <w:t xml:space="preserve">Up</w:t>
            </w:r>
          </w:p>
        </w:tc>
      </w:tr>
      <w:tr>
        <w:tc>
          <w:tcPr>
            <w:tcMar>
              <w:top w:type="dxa" w:w="80"/>
              <w:left w:type="dxa" w:w="100"/>
              <w:bottom w:type="dxa" w:w="80"/>
              <w:right w:type="dxa" w:w="100"/>
            </w:tcMar>
          </w:tcPr>
          <w:p>
            <w:r>
              <w:t xml:space="preserve">Ethanol Recovery Syrup (BL/Qtl)</w:t>
            </w:r>
          </w:p>
        </w:tc>
        <w:tc>
          <w:tcPr>
            <w:tcMar>
              <w:top w:type="dxa" w:w="80"/>
              <w:left w:type="dxa" w:w="100"/>
              <w:bottom w:type="dxa" w:w="80"/>
              <w:right w:type="dxa" w:w="100"/>
            </w:tcMar>
          </w:tcPr>
          <w:p>
            <w:r>
              <w:t xml:space="preserve">5.97</w:t>
            </w:r>
          </w:p>
        </w:tc>
        <w:tc>
          <w:tcPr>
            <w:tcMar>
              <w:top w:type="dxa" w:w="80"/>
              <w:left w:type="dxa" w:w="100"/>
              <w:bottom w:type="dxa" w:w="80"/>
              <w:right w:type="dxa" w:w="100"/>
            </w:tcMar>
          </w:tcPr>
          <w:p>
            <w:r>
              <w:t xml:space="preserve">5.97</w:t>
            </w:r>
          </w:p>
        </w:tc>
        <w:tc>
          <w:tcPr>
            <w:tcMar>
              <w:top w:type="dxa" w:w="80"/>
              <w:left w:type="dxa" w:w="100"/>
              <w:bottom w:type="dxa" w:w="80"/>
              <w:right w:type="dxa" w:w="100"/>
            </w:tcMar>
          </w:tcPr>
          <w:p>
            <w:r>
              <w:t xml:space="preserve"/>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Fermentation Efficiency (%)</w:t>
            </w:r>
          </w:p>
        </w:tc>
        <w:tc>
          <w:tcPr>
            <w:tcMar>
              <w:top w:type="dxa" w:w="80"/>
              <w:left w:type="dxa" w:w="100"/>
              <w:bottom w:type="dxa" w:w="80"/>
              <w:right w:type="dxa" w:w="100"/>
            </w:tcMar>
          </w:tcPr>
          <w:p>
            <w:r>
              <w:t xml:space="preserve">91.03%</w:t>
            </w:r>
          </w:p>
        </w:tc>
        <w:tc>
          <w:tcPr>
            <w:tcMar>
              <w:top w:type="dxa" w:w="80"/>
              <w:left w:type="dxa" w:w="100"/>
              <w:bottom w:type="dxa" w:w="80"/>
              <w:right w:type="dxa" w:w="100"/>
            </w:tcMar>
          </w:tcPr>
          <w:p>
            <w:r>
              <w:t xml:space="preserve">90.71%</w:t>
            </w:r>
          </w:p>
        </w:tc>
        <w:tc>
          <w:tcPr>
            <w:tcMar>
              <w:top w:type="dxa" w:w="80"/>
              <w:left w:type="dxa" w:w="100"/>
              <w:bottom w:type="dxa" w:w="80"/>
              <w:right w:type="dxa" w:w="100"/>
            </w:tcMar>
          </w:tcPr>
          <w:p>
            <w:r>
              <w:t xml:space="preserve">90.68%</w:t>
            </w:r>
          </w:p>
        </w:tc>
        <w:tc>
          <w:tcPr>
            <w:tcMar>
              <w:top w:type="dxa" w:w="80"/>
              <w:left w:type="dxa" w:w="100"/>
              <w:bottom w:type="dxa" w:w="80"/>
              <w:right w:type="dxa" w:w="100"/>
            </w:tcMar>
          </w:tcPr>
          <w:p>
            <w:r>
              <w:t xml:space="preserve">Up</w:t>
            </w:r>
          </w:p>
        </w:tc>
      </w:tr>
      <w:tr>
        <w:tc>
          <w:tcPr>
            <w:tcMar>
              <w:top w:type="dxa" w:w="80"/>
              <w:left w:type="dxa" w:w="100"/>
              <w:bottom w:type="dxa" w:w="80"/>
              <w:right w:type="dxa" w:w="100"/>
            </w:tcMar>
          </w:tcPr>
          <w:p>
            <w:r>
              <w:t xml:space="preserve">Distillation Efficiency (%)</w:t>
            </w:r>
          </w:p>
        </w:tc>
        <w:tc>
          <w:tcPr>
            <w:tcMar>
              <w:top w:type="dxa" w:w="80"/>
              <w:left w:type="dxa" w:w="100"/>
              <w:bottom w:type="dxa" w:w="80"/>
              <w:right w:type="dxa" w:w="100"/>
            </w:tcMar>
          </w:tcPr>
          <w:p>
            <w:r>
              <w:t xml:space="preserve">98.63%</w:t>
            </w:r>
          </w:p>
        </w:tc>
        <w:tc>
          <w:tcPr>
            <w:tcMar>
              <w:top w:type="dxa" w:w="80"/>
              <w:left w:type="dxa" w:w="100"/>
              <w:bottom w:type="dxa" w:w="80"/>
              <w:right w:type="dxa" w:w="100"/>
            </w:tcMar>
          </w:tcPr>
          <w:p>
            <w:r>
              <w:t xml:space="preserve">98.75%</w:t>
            </w:r>
          </w:p>
        </w:tc>
        <w:tc>
          <w:tcPr>
            <w:tcMar>
              <w:top w:type="dxa" w:w="80"/>
              <w:left w:type="dxa" w:w="100"/>
              <w:bottom w:type="dxa" w:w="80"/>
              <w:right w:type="dxa" w:w="100"/>
            </w:tcMar>
          </w:tcPr>
          <w:p>
            <w:r>
              <w:t xml:space="preserve">98.67%</w:t>
            </w:r>
          </w:p>
        </w:tc>
        <w:tc>
          <w:tcPr>
            <w:tcMar>
              <w:top w:type="dxa" w:w="80"/>
              <w:left w:type="dxa" w:w="100"/>
              <w:bottom w:type="dxa" w:w="80"/>
              <w:right w:type="dxa" w:w="100"/>
            </w:tcMar>
          </w:tcPr>
          <w:p>
            <w:r>
              <w:t xml:space="preserve">Slight dip</w:t>
            </w:r>
          </w:p>
        </w:tc>
      </w:tr>
      <w:tr>
        <w:tc>
          <w:tcPr>
            <w:tcMar>
              <w:top w:type="dxa" w:w="80"/>
              <w:left w:type="dxa" w:w="100"/>
              <w:bottom w:type="dxa" w:w="80"/>
              <w:right w:type="dxa" w:w="100"/>
            </w:tcMar>
          </w:tcPr>
          <w:p>
            <w:r>
              <w:t xml:space="preserve">Steam Consumed (Kg/BL)</w:t>
            </w:r>
          </w:p>
        </w:tc>
        <w:tc>
          <w:tcPr>
            <w:tcMar>
              <w:top w:type="dxa" w:w="80"/>
              <w:left w:type="dxa" w:w="100"/>
              <w:bottom w:type="dxa" w:w="80"/>
              <w:right w:type="dxa" w:w="100"/>
            </w:tcMar>
          </w:tcPr>
          <w:p>
            <w:r>
              <w:t xml:space="preserve">4.30</w:t>
            </w:r>
          </w:p>
        </w:tc>
        <w:tc>
          <w:tcPr>
            <w:tcMar>
              <w:top w:type="dxa" w:w="80"/>
              <w:left w:type="dxa" w:w="100"/>
              <w:bottom w:type="dxa" w:w="80"/>
              <w:right w:type="dxa" w:w="100"/>
            </w:tcMar>
          </w:tcPr>
          <w:p>
            <w:r>
              <w:t xml:space="preserve">4.38</w:t>
            </w:r>
          </w:p>
        </w:tc>
        <w:tc>
          <w:tcPr>
            <w:tcMar>
              <w:top w:type="dxa" w:w="80"/>
              <w:left w:type="dxa" w:w="100"/>
              <w:bottom w:type="dxa" w:w="80"/>
              <w:right w:type="dxa" w:w="100"/>
            </w:tcMar>
          </w:tcPr>
          <w:p>
            <w:r>
              <w:t xml:space="preserve">4.48</w:t>
            </w:r>
          </w:p>
        </w:tc>
        <w:tc>
          <w:tcPr>
            <w:tcMar>
              <w:top w:type="dxa" w:w="80"/>
              <w:left w:type="dxa" w:w="100"/>
              <w:bottom w:type="dxa" w:w="80"/>
              <w:right w:type="dxa" w:w="100"/>
            </w:tcMar>
          </w:tcPr>
          <w:p>
            <w:r>
              <w:t xml:space="preserve">Down</w:t>
            </w:r>
          </w:p>
        </w:tc>
      </w:tr>
      <w:tr>
        <w:tc>
          <w:tcPr>
            <w:tcMar>
              <w:top w:type="dxa" w:w="80"/>
              <w:left w:type="dxa" w:w="100"/>
              <w:bottom w:type="dxa" w:w="80"/>
              <w:right w:type="dxa" w:w="100"/>
            </w:tcMar>
          </w:tcPr>
          <w:p>
            <w:r>
              <w:t xml:space="preserve">Power Consumed (KWH/BL)</w:t>
            </w:r>
          </w:p>
        </w:tc>
        <w:tc>
          <w:tcPr>
            <w:tcMar>
              <w:top w:type="dxa" w:w="80"/>
              <w:left w:type="dxa" w:w="100"/>
              <w:bottom w:type="dxa" w:w="80"/>
              <w:right w:type="dxa" w:w="100"/>
            </w:tcMar>
          </w:tcPr>
          <w:p>
            <w:r>
              <w:t xml:space="preserve">0.509</w:t>
            </w:r>
          </w:p>
        </w:tc>
        <w:tc>
          <w:tcPr>
            <w:tcMar>
              <w:top w:type="dxa" w:w="80"/>
              <w:left w:type="dxa" w:w="100"/>
              <w:bottom w:type="dxa" w:w="80"/>
              <w:right w:type="dxa" w:w="100"/>
            </w:tcMar>
          </w:tcPr>
          <w:p>
            <w:r>
              <w:t xml:space="preserve">0.627</w:t>
            </w:r>
          </w:p>
        </w:tc>
        <w:tc>
          <w:tcPr>
            <w:tcMar>
              <w:top w:type="dxa" w:w="80"/>
              <w:left w:type="dxa" w:w="100"/>
              <w:bottom w:type="dxa" w:w="80"/>
              <w:right w:type="dxa" w:w="100"/>
            </w:tcMar>
          </w:tcPr>
          <w:p>
            <w:r>
              <w:t xml:space="preserve">0.698</w:t>
            </w:r>
          </w:p>
        </w:tc>
        <w:tc>
          <w:tcPr>
            <w:tcMar>
              <w:top w:type="dxa" w:w="80"/>
              <w:left w:type="dxa" w:w="100"/>
              <w:bottom w:type="dxa" w:w="80"/>
              <w:right w:type="dxa" w:w="100"/>
            </w:tcMar>
          </w:tcPr>
          <w:p>
            <w:r>
              <w:t xml:space="preserve">Down</w:t>
            </w:r>
          </w:p>
        </w:tc>
      </w:tr>
    </w:tbl>
    <w:p>
      <w:pPr>
        <w:spacing w:after="300"/>
      </w:pPr>
    </w:p>
    <w:p>
      <w:r>
        <w:rPr>
          <w:b/>
          <w:bCs/>
          <w:color w:val="006666"/>
          <w:sz w:val="24"/>
          <w:szCs w:val="24"/>
        </w:rPr>
        <w:t xml:space="preserve">TABLE B – Qualitative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Area</w:t>
            </w:r>
          </w:p>
        </w:tc>
        <w:tc>
          <w:tcPr>
            <w:shd w:fill="006666" w:color="auto" w:val="clear"/>
            <w:tcMar>
              <w:top w:type="dxa" w:w="100"/>
              <w:left w:type="dxa" w:w="100"/>
              <w:bottom w:type="dxa" w:w="100"/>
              <w:right w:type="dxa" w:w="100"/>
            </w:tcMar>
          </w:tcPr>
          <w:p>
            <w:pPr>
              <w:jc w:val="center"/>
            </w:pPr>
            <w:r>
              <w:rPr>
                <w:b/>
                <w:bCs/>
                <w:color w:val="FFFFFF"/>
              </w:rPr>
              <w:t xml:space="preserve">Current Week Narrative</w:t>
            </w:r>
          </w:p>
        </w:tc>
        <w:tc>
          <w:tcPr>
            <w:shd w:fill="006666" w:color="auto" w:val="clear"/>
            <w:tcMar>
              <w:top w:type="dxa" w:w="100"/>
              <w:left w:type="dxa" w:w="100"/>
              <w:bottom w:type="dxa" w:w="100"/>
              <w:right w:type="dxa" w:w="100"/>
            </w:tcMar>
          </w:tcPr>
          <w:p>
            <w:pPr>
              <w:jc w:val="center"/>
            </w:pPr>
            <w:r>
              <w:rPr>
                <w:b/>
                <w:bCs/>
                <w:color w:val="FFFFFF"/>
              </w:rPr>
              <w:t xml:space="preserve">Change vs Last Week</w:t>
            </w:r>
          </w:p>
        </w:tc>
      </w:tr>
      <w:tr>
        <w:tc>
          <w:tcPr>
            <w:tcMar>
              <w:top w:type="dxa" w:w="80"/>
              <w:left w:type="dxa" w:w="100"/>
              <w:bottom w:type="dxa" w:w="80"/>
              <w:right w:type="dxa" w:w="100"/>
            </w:tcMar>
          </w:tcPr>
          <w:p>
            <w:r>
              <w:t xml:space="preserve">Engineering</w:t>
            </w:r>
          </w:p>
        </w:tc>
        <w:tc>
          <w:tcPr>
            <w:tcMar>
              <w:top w:type="dxa" w:w="80"/>
              <w:left w:type="dxa" w:w="100"/>
              <w:bottom w:type="dxa" w:w="80"/>
              <w:right w:type="dxa" w:w="100"/>
            </w:tcMar>
          </w:tcPr>
          <w:p>
            <w:r>
              <w:t xml:space="preserve">Cane crushed 4.254 LQ. Hours utilized at 98.68%. Downtime limited to 1.54 hrs. Pol % Bagasse at 1.96% above target. Capex progressing with mill roller machining ongoing and rotary screen refurbished.</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Cane Planning</w:t>
            </w:r>
          </w:p>
        </w:tc>
        <w:tc>
          <w:tcPr>
            <w:tcMar>
              <w:top w:type="dxa" w:w="80"/>
              <w:left w:type="dxa" w:w="100"/>
              <w:bottom w:type="dxa" w:w="80"/>
              <w:right w:type="dxa" w:w="100"/>
            </w:tcMar>
          </w:tcPr>
          <w:p>
            <w:r>
              <w:t xml:space="preserve">Daily indent rate at 1.56 LQ as per requirement. Gate indent maturity at 50%, center indent at 65%. Pol in cane at 10.89%. Affected cane zero percent. Vehicle holding time at centers monitored with issues in bottom performers.</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Production</w:t>
            </w:r>
          </w:p>
        </w:tc>
        <w:tc>
          <w:tcPr>
            <w:tcMar>
              <w:top w:type="dxa" w:w="80"/>
              <w:left w:type="dxa" w:w="100"/>
              <w:bottom w:type="dxa" w:w="80"/>
              <w:right w:type="dxa" w:w="100"/>
            </w:tcMar>
          </w:tcPr>
          <w:p>
            <w:r>
              <w:t xml:space="preserve">Crushing started 25th Oct 2025, DS house started 29th Oct. Sugar production stable at 0.12 LQ. Sugar quality ICUMSA RS M-sugar at 30. Mud removal system and R3 pan works in progress.</w:t>
            </w:r>
          </w:p>
        </w:tc>
        <w:tc>
          <w:tcPr>
            <w:tcMar>
              <w:top w:type="dxa" w:w="80"/>
              <w:left w:type="dxa" w:w="100"/>
              <w:bottom w:type="dxa" w:w="80"/>
              <w:right w:type="dxa" w:w="100"/>
            </w:tcMar>
          </w:tcPr>
          <w:p>
            <w:r>
              <w:t xml:space="preserve">DS house started. No major change in production levels. Quality stable.</w:t>
            </w:r>
          </w:p>
        </w:tc>
      </w:tr>
      <w:tr>
        <w:tc>
          <w:tcPr>
            <w:tcMar>
              <w:top w:type="dxa" w:w="80"/>
              <w:left w:type="dxa" w:w="100"/>
              <w:bottom w:type="dxa" w:w="80"/>
              <w:right w:type="dxa" w:w="100"/>
            </w:tcMar>
          </w:tcPr>
          <w:p>
            <w:r>
              <w:t xml:space="preserve">Power</w:t>
            </w:r>
          </w:p>
        </w:tc>
        <w:tc>
          <w:tcPr>
            <w:tcMar>
              <w:top w:type="dxa" w:w="80"/>
              <w:left w:type="dxa" w:w="100"/>
              <w:bottom w:type="dxa" w:w="80"/>
              <w:right w:type="dxa" w:w="100"/>
            </w:tcMar>
          </w:tcPr>
          <w:p>
            <w:r>
              <w:t xml:space="preserve">30.85 MW power plant running at 95.16% PLF. 70 TPH boiler started on 28 Oct. 35 TPH boiler had leakage attended &amp; rectified. Power consumption 32.61 KW/T CNC.</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Distillery</w:t>
            </w:r>
          </w:p>
        </w:tc>
        <w:tc>
          <w:tcPr>
            <w:tcMar>
              <w:top w:type="dxa" w:w="80"/>
              <w:left w:type="dxa" w:w="100"/>
              <w:bottom w:type="dxa" w:w="80"/>
              <w:right w:type="dxa" w:w="100"/>
            </w:tcMar>
          </w:tcPr>
          <w:p>
            <w:r>
              <w:t xml:space="preserve">Distillery started 30 Oct post-maintenance. Capacity utilization 100.72%. Ethanol production at 1.86 LL improved from 1.38 LL. Fermentation efficiency slightly up; power consumption improved.</w:t>
            </w:r>
          </w:p>
        </w:tc>
        <w:tc>
          <w:tcPr>
            <w:tcMar>
              <w:top w:type="dxa" w:w="80"/>
              <w:left w:type="dxa" w:w="100"/>
              <w:bottom w:type="dxa" w:w="80"/>
              <w:right w:type="dxa" w:w="100"/>
            </w:tcMar>
          </w:tcPr>
          <w:p>
            <w:r>
              <w:t xml:space="preserve">Improvement in capacity utilization and production.</w:t>
            </w:r>
          </w:p>
        </w:tc>
      </w:tr>
      <w:tr>
        <w:tc>
          <w:tcPr>
            <w:tcMar>
              <w:top w:type="dxa" w:w="80"/>
              <w:left w:type="dxa" w:w="100"/>
              <w:bottom w:type="dxa" w:w="80"/>
              <w:right w:type="dxa" w:w="100"/>
            </w:tcMar>
          </w:tcPr>
          <w:p>
            <w:r>
              <w:t xml:space="preserve">Quality/EHS</w:t>
            </w:r>
          </w:p>
        </w:tc>
        <w:tc>
          <w:tcPr>
            <w:tcMar>
              <w:top w:type="dxa" w:w="80"/>
              <w:left w:type="dxa" w:w="100"/>
              <w:bottom w:type="dxa" w:w="80"/>
              <w:right w:type="dxa" w:w="100"/>
            </w:tcMar>
          </w:tcPr>
          <w:p>
            <w:r>
              <w:t xml:space="preserve">Bagasse moisture and pol % slightly above target. Hazard observations promptly addressed. Near misses closed. Safety culture emphasized with PPE compliance.</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Capex/Projects</w:t>
            </w:r>
          </w:p>
        </w:tc>
        <w:tc>
          <w:tcPr>
            <w:tcMar>
              <w:top w:type="dxa" w:w="80"/>
              <w:left w:type="dxa" w:w="100"/>
              <w:bottom w:type="dxa" w:w="80"/>
              <w:right w:type="dxa" w:w="100"/>
            </w:tcMar>
          </w:tcPr>
          <w:p>
            <w:r>
              <w:t xml:space="preserve">Mill roller machining on track; spare roller expected end Nov. Other equipment refurbishments progressing. Electrical VFD replacements and instrumentation upgrades ongoing. Mud removal system scaffold &amp; calandria works active.</w:t>
            </w:r>
          </w:p>
        </w:tc>
        <w:tc>
          <w:tcPr>
            <w:tcMar>
              <w:top w:type="dxa" w:w="80"/>
              <w:left w:type="dxa" w:w="100"/>
              <w:bottom w:type="dxa" w:w="80"/>
              <w:right w:type="dxa" w:w="100"/>
            </w:tcMar>
          </w:tcPr>
          <w:p>
            <w:r>
              <w:t xml:space="preserve">Ongoing procurement and installation progressing as scheduled.</w:t>
            </w:r>
          </w:p>
        </w:tc>
      </w:tr>
      <w:tr>
        <w:tc>
          <w:tcPr>
            <w:tcMar>
              <w:top w:type="dxa" w:w="80"/>
              <w:left w:type="dxa" w:w="100"/>
              <w:bottom w:type="dxa" w:w="80"/>
              <w:right w:type="dxa" w:w="100"/>
            </w:tcMar>
          </w:tcPr>
          <w:p>
            <w:r>
              <w:t xml:space="preserve">Risks</w:t>
            </w:r>
          </w:p>
        </w:tc>
        <w:tc>
          <w:tcPr>
            <w:tcMar>
              <w:top w:type="dxa" w:w="80"/>
              <w:left w:type="dxa" w:w="100"/>
              <w:bottom w:type="dxa" w:w="80"/>
              <w:right w:type="dxa" w:w="100"/>
            </w:tcMar>
          </w:tcPr>
          <w:p>
            <w:r>
              <w:t xml:space="preserve">Seal box leakage on 4 MW TG set caused 3 hr forced outage requiring boiler shutdown and turbine sync delay. Pol % bagasse above target. Transportation issues continue to impact cane timely supply.</w:t>
            </w:r>
          </w:p>
        </w:tc>
        <w:tc>
          <w:tcPr>
            <w:tcMar>
              <w:top w:type="dxa" w:w="80"/>
              <w:left w:type="dxa" w:w="100"/>
              <w:bottom w:type="dxa" w:w="80"/>
              <w:right w:type="dxa" w:w="100"/>
            </w:tcMar>
          </w:tcPr>
          <w:p>
            <w:r>
              <w:t xml:space="preserve">Operational risks centered on equipment reliability and transport logistics.</w:t>
            </w:r>
          </w:p>
        </w:tc>
      </w:tr>
    </w:tbl>
    <w:p>
      <w:pPr>
        <w:spacing w:after="300"/>
      </w:pPr>
    </w:p>
    <w:p>
      <w:pPr>
        <w:jc w:val="center"/>
      </w:pPr>
      <w:r>
        <w:rPr>
          <w:color w:val="888888"/>
          <w:sz w:val="18"/>
          <w:szCs w:val="18"/>
        </w:rPr>
        <w:t xml:space="preserve">This review is based exclusively on numbers and narratives disclosed in the weekly PDF slides.</w:t>
      </w:r>
    </w:p>
    <w:p>
      <w:pPr>
        <w:spacing w:before="100"/>
        <w:jc w:val="center"/>
      </w:pPr>
      <w:r>
        <w:rPr>
          <w:color w:val="AAAAAA"/>
          <w:sz w:val="16"/>
          <w:szCs w:val="16"/>
        </w:rPr>
        <w:t xml:space="preserve">Note: This report is AI-generated and may not be fully accurate. Please review and validate the information before relying on it for decision-making.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2026-02-05T12:34:21.217Z</dcterms:created>
  <dcterms:modified xsi:type="dcterms:W3CDTF">2026-02-05T12:34:21.217Z</dcterms:modified>
</cp:coreProperties>
</file>

<file path=docProps/custom.xml><?xml version="1.0" encoding="utf-8"?>
<Properties xmlns="http://schemas.openxmlformats.org/officeDocument/2006/custom-properties" xmlns:vt="http://schemas.openxmlformats.org/officeDocument/2006/docPropsVTypes"/>
</file>