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b/>
          <w:bCs/>
          <w:color w:val="1F4E78"/>
          <w:sz w:val="36"/>
          <w:szCs w:val="36"/>
        </w:rPr>
        <w:t xml:space="preserve">WEEKLY LEADERSHIP REVIEW</w:t>
      </w:r>
    </w:p>
    <w:p>
      <w:pPr>
        <w:jc w:val="center"/>
      </w:pPr>
      <w:r>
        <w:rPr>
          <w:color w:val="444444"/>
          <w:sz w:val="28"/>
          <w:szCs w:val="28"/>
        </w:rPr>
        <w:t xml:space="preserve">Gobind Sugar Mill, Aira</w:t>
      </w:r>
    </w:p>
    <w:p>
      <w:pPr>
        <w:jc w:val="center"/>
      </w:pPr>
      <w:r>
        <w:rPr>
          <w:color w:val="666666"/>
          <w:sz w:val="20"/>
          <w:szCs w:val="20"/>
        </w:rPr>
        <w:t xml:space="preserve">Week: 20 Dec 2025 vs Previous Week (13 Dec 2025)</w:t>
      </w:r>
    </w:p>
    <w:p>
      <w:pPr>
        <w:jc w:val="center"/>
      </w:pPr>
      <w:r>
        <w:rPr>
          <w:color w:val="666666"/>
          <w:sz w:val="20"/>
          <w:szCs w:val="20"/>
        </w:rPr>
        <w:t xml:space="preserve">Season Days: undefined</w:t>
      </w:r>
    </w:p>
    <w:p>
      <w:pPr>
        <w:spacing w:after="300"/>
      </w:pPr>
    </w:p>
    <w:p>
      <w:pPr>
        <w:pBdr>
          <w:bottom w:val="single" w:color="1F4E78" w:sz="6" w:space="1"/>
        </w:pBdr>
      </w:pPr>
      <w:r>
        <w:rPr>
          <w:b/>
          <w:bCs/>
          <w:color w:val="1F4E78"/>
          <w:sz w:val="26"/>
          <w:szCs w:val="26"/>
        </w:rPr>
        <w:t xml:space="preserve">PART 1 – INSIGHT NARRATIVE</w:t>
      </w:r>
    </w:p>
    <w:p>
      <w:pPr>
        <w:spacing w:after="150"/>
      </w:pPr>
    </w:p>
    <w:p>
      <w:r>
        <w:rPr>
          <w:b/>
          <w:bCs/>
          <w:color w:val="2E75B5"/>
          <w:sz w:val="24"/>
          <w:szCs w:val="24"/>
        </w:rPr>
        <w:t xml:space="preserve">1. Executive Summary (Key Insights)</w:t>
      </w:r>
    </w:p>
    <w:p>
      <w:pPr>
        <w:pStyle w:val="ListParagraph"/>
        <w:numPr>
          <w:ilvl w:val="0"/>
          <w:numId w:val="1"/>
        </w:numPr>
        <w:spacing w:before="100"/>
      </w:pPr>
      <w:r>
        <w:rPr>
          <w:b/>
          <w:bCs/>
          <w:sz w:val="22"/>
          <w:szCs w:val="22"/>
        </w:rPr>
        <w:t xml:space="preserve">CRUSHING PERFORMANCE: </w:t>
      </w:r>
      <w:r>
        <w:rPr>
          <w:sz w:val="22"/>
          <w:szCs w:val="22"/>
        </w:rPr>
        <w:t xml:space="preserve">Crushing increased slightly from 7.36 LQ to 7.44 LQ while achieving 55.63 LQ till date. Seasonal average crush was 99343 Qtls/day vs last week's 98361 Qtls/day. Capacity utilization rose marginally to 106.21% from 105.14%.</w:t>
      </w:r>
    </w:p>
    <w:p>
      <w:pPr>
        <w:pStyle w:val="ListParagraph"/>
        <w:numPr>
          <w:ilvl w:val="0"/>
          <w:numId w:val="1"/>
        </w:numPr>
        <w:spacing w:before="100"/>
      </w:pPr>
      <w:r>
        <w:rPr>
          <w:b/>
          <w:bCs/>
          <w:sz w:val="22"/>
          <w:szCs w:val="22"/>
        </w:rPr>
        <w:t xml:space="preserve">RECOVERY: </w:t>
      </w:r>
      <w:r>
        <w:rPr>
          <w:sz w:val="22"/>
          <w:szCs w:val="22"/>
        </w:rPr>
        <w:t xml:space="preserve">Sugar recovery was stable at 10.43% vs 10.48% last week, with till-date recovery at 9.81% up from 9.72%. Pol in cane increased to 12.92% from 12.86% last week.</w:t>
      </w:r>
    </w:p>
    <w:p>
      <w:pPr>
        <w:pStyle w:val="ListParagraph"/>
        <w:numPr>
          <w:ilvl w:val="0"/>
          <w:numId w:val="1"/>
        </w:numPr>
        <w:spacing w:before="100"/>
      </w:pPr>
      <w:r>
        <w:rPr>
          <w:b/>
          <w:bCs/>
          <w:sz w:val="22"/>
          <w:szCs w:val="22"/>
        </w:rPr>
        <w:t xml:space="preserve">LOSSES: </w:t>
      </w:r>
      <w:r>
        <w:rPr>
          <w:sz w:val="22"/>
          <w:szCs w:val="22"/>
        </w:rPr>
        <w:t xml:space="preserve">Total losses increased slightly to 2.47% from 2.22%, driven mainly by losses in molasses at 1.86% vs 1.61% last week. Bagasse and filter cake losses remained unchanged.</w:t>
      </w:r>
    </w:p>
    <w:p>
      <w:pPr>
        <w:pStyle w:val="ListParagraph"/>
        <w:numPr>
          <w:ilvl w:val="0"/>
          <w:numId w:val="1"/>
        </w:numPr>
        <w:spacing w:before="100"/>
      </w:pPr>
      <w:r>
        <w:rPr>
          <w:b/>
          <w:bCs/>
          <w:sz w:val="22"/>
          <w:szCs w:val="22"/>
        </w:rPr>
        <w:t xml:space="preserve">POWER: </w:t>
      </w:r>
      <w:r>
        <w:rPr>
          <w:sz w:val="22"/>
          <w:szCs w:val="22"/>
        </w:rPr>
        <w:t xml:space="preserve">Power generation remained flat at 65.38 LU vs 65.66 LU while power export declined marginally to 38.00 LU from 39.03 LU. Plant availability was at 100% for boilers and turbines.</w:t>
      </w:r>
    </w:p>
    <w:p>
      <w:pPr>
        <w:pStyle w:val="ListParagraph"/>
        <w:numPr>
          <w:ilvl w:val="0"/>
          <w:numId w:val="1"/>
        </w:numPr>
        <w:spacing w:before="100"/>
      </w:pPr>
      <w:r>
        <w:rPr>
          <w:b/>
          <w:bCs/>
          <w:sz w:val="22"/>
          <w:szCs w:val="22"/>
        </w:rPr>
        <w:t xml:space="preserve">DISTILLERY: </w:t>
      </w:r>
      <w:r>
        <w:rPr>
          <w:sz w:val="22"/>
          <w:szCs w:val="22"/>
        </w:rPr>
        <w:t xml:space="preserve">Ethanol production rose to 8.33 LL from 7.88 LL with capacity utilization improving to 95.21% from 93.37%. Zero downtime reported this week.</w:t>
      </w:r>
    </w:p>
    <w:p>
      <w:pPr>
        <w:pStyle w:val="ListParagraph"/>
        <w:numPr>
          <w:ilvl w:val="0"/>
          <w:numId w:val="1"/>
        </w:numPr>
        <w:spacing w:before="100"/>
      </w:pPr>
      <w:r>
        <w:rPr>
          <w:b/>
          <w:bCs/>
          <w:sz w:val="22"/>
          <w:szCs w:val="22"/>
        </w:rPr>
        <w:t xml:space="preserve">SUGAR QUALITY: </w:t>
      </w:r>
      <w:r>
        <w:rPr>
          <w:sz w:val="22"/>
          <w:szCs w:val="22"/>
        </w:rPr>
        <w:t xml:space="preserve">Sugar quality remained stable with DS House ICUMSA M-sugar at 103 vs 110 last week; RS House ICUMSA L-sugar improved to 32 from 36.</w:t>
      </w:r>
    </w:p>
    <w:p>
      <w:pPr>
        <w:pStyle w:val="ListParagraph"/>
        <w:numPr>
          <w:ilvl w:val="0"/>
          <w:numId w:val="1"/>
        </w:numPr>
        <w:spacing w:before="100"/>
      </w:pPr>
      <w:r>
        <w:rPr>
          <w:b/>
          <w:bCs/>
          <w:sz w:val="22"/>
          <w:szCs w:val="22"/>
        </w:rPr>
        <w:t xml:space="preserve">CAPEX / PROJECTS: </w:t>
      </w:r>
      <w:r>
        <w:rPr>
          <w:sz w:val="22"/>
          <w:szCs w:val="22"/>
        </w:rPr>
        <w:t xml:space="preserve">Mud Removal System (Decanter) reached 60% completion, up from 45%. Refinery house IER regeneration sprinkling system and recycling system of pump gland cooling water under progress. R3 boiling and curing arrangement completed.</w:t>
      </w:r>
    </w:p>
    <w:p>
      <w:pPr>
        <w:pStyle w:val="ListParagraph"/>
        <w:numPr>
          <w:ilvl w:val="0"/>
          <w:numId w:val="1"/>
        </w:numPr>
        <w:spacing w:before="100"/>
      </w:pPr>
      <w:r>
        <w:rPr>
          <w:b/>
          <w:bCs/>
          <w:sz w:val="22"/>
          <w:szCs w:val="22"/>
        </w:rPr>
        <w:t xml:space="preserve">EHS &amp; SAFETY: </w:t>
      </w:r>
      <w:r>
        <w:rPr>
          <w:sz w:val="22"/>
          <w:szCs w:val="22"/>
        </w:rPr>
        <w:t xml:space="preserve">No accidents reported for the week. Regular safety trainings for truck drivers and growers ongoing. Near miss and hazard observations addressed promptly.</w:t>
      </w:r>
    </w:p>
    <w:p>
      <w:pPr>
        <w:spacing w:after="150"/>
      </w:pPr>
    </w:p>
    <w:p>
      <w:pPr>
        <w:spacing w:before="200" w:after="100"/>
      </w:pPr>
      <w:r>
        <w:rPr>
          <w:b/>
          <w:bCs/>
          <w:color w:val="2E75B5"/>
          <w:sz w:val="22"/>
          <w:szCs w:val="22"/>
        </w:rPr>
        <w:t xml:space="preserve">2. Overall Performance</w:t>
      </w:r>
    </w:p>
    <w:p>
      <w:pPr>
        <w:spacing w:after="100"/>
      </w:pPr>
      <w:r>
        <w:t xml:space="preserve">The plant demonstrated steady operational performance with marginal improvements in crushing, capacity utilization, and distillery production. Recovery remained stable while losses saw a slight increase, mainly due to molasses. Power generation was stable with slight export decrease. Capex projects are progressing as planned. Operational discipline with 100% plant availability maintained.</w:t>
      </w:r>
    </w:p>
    <w:p>
      <w:pPr>
        <w:spacing w:before="200" w:after="100"/>
      </w:pPr>
      <w:r>
        <w:rPr>
          <w:b/>
          <w:bCs/>
          <w:color w:val="2E75B5"/>
          <w:sz w:val="22"/>
          <w:szCs w:val="22"/>
        </w:rPr>
        <w:t xml:space="preserve">3. Benchmark &amp; Comparative Position</w:t>
      </w:r>
    </w:p>
    <w:p>
      <w:pPr>
        <w:spacing w:after="100"/>
      </w:pPr>
      <w:r>
        <w:t xml:space="preserve">Compared to peers, the mill’s cane crush on date at 106000 Qtls leads regional averages and peer range on pol in cane and recovery remains competitive at 10.44%. Capacity utilization and power plant PLF showed positive health above targets. Payment and cane supply compared favorably within region.</w:t>
      </w:r>
    </w:p>
    <w:p>
      <w:pPr>
        <w:spacing w:before="200" w:after="100"/>
      </w:pPr>
      <w:r>
        <w:rPr>
          <w:b/>
          <w:bCs/>
          <w:color w:val="2E75B5"/>
          <w:sz w:val="22"/>
          <w:szCs w:val="22"/>
        </w:rPr>
        <w:t xml:space="preserve">4. Cane Planning &amp; Control</w:t>
      </w:r>
    </w:p>
    <w:p>
      <w:pPr>
        <w:spacing w:after="100"/>
      </w:pPr>
      <w:r>
        <w:t xml:space="preserve">Indent maturity improved with gate indent at 93% (down from 99%), center maturity at 96% (down from 101%). Cane purchase rate increased to 1.06 LQ vs 1.05 previous week. Affected cane reduced to 1.6% in yard sampling. Top 10 and bottom 10 indent centers identified with focused action on water logged and dead growers.</w:t>
      </w:r>
    </w:p>
    <w:p>
      <w:pPr>
        <w:spacing w:before="200" w:after="100"/>
      </w:pPr>
      <w:r>
        <w:rPr>
          <w:b/>
          <w:bCs/>
          <w:color w:val="2E75B5"/>
          <w:sz w:val="22"/>
          <w:szCs w:val="22"/>
        </w:rPr>
        <w:t xml:space="preserve">5. Engineering &amp; Milling Performance</w:t>
      </w:r>
    </w:p>
    <w:p>
      <w:pPr>
        <w:spacing w:after="100"/>
      </w:pPr>
      <w:r>
        <w:t xml:space="preserve">Engineering showed 99.53% utilization maintaining operational uptime. Downtime increased slightly to 0.47 hrs from 0.16, largely due to feeder drum and cane carrier trippings caused by overloads. Preventive maintenance actions like top roller groove cleaning conducted. Shredder vibration and power metrics stable.</w:t>
      </w:r>
    </w:p>
    <w:p>
      <w:pPr>
        <w:spacing w:before="200" w:after="100"/>
      </w:pPr>
      <w:r>
        <w:rPr>
          <w:b/>
          <w:bCs/>
          <w:color w:val="2E75B5"/>
          <w:sz w:val="22"/>
          <w:szCs w:val="22"/>
        </w:rPr>
        <w:t xml:space="preserve">6. Production Performance</w:t>
      </w:r>
    </w:p>
    <w:p>
      <w:pPr>
        <w:spacing w:after="100"/>
      </w:pPr>
      <w:r>
        <w:t xml:space="preserve">Sugar production steady at 0.64 LQ vs 0.67 LQ last week. Recovery for CH-RS improved to 11.18%, B-Mol recovery DS rose to 6.45%. Quality parameters met targets with minimal losses. Steam and power consumptions steady and within expected ranges.</w:t>
      </w:r>
    </w:p>
    <w:p>
      <w:pPr>
        <w:spacing w:before="200" w:after="100"/>
      </w:pPr>
      <w:r>
        <w:rPr>
          <w:b/>
          <w:bCs/>
          <w:color w:val="2E75B5"/>
          <w:sz w:val="22"/>
          <w:szCs w:val="22"/>
        </w:rPr>
        <w:t xml:space="preserve">7. Power Plant Performance</w:t>
      </w:r>
    </w:p>
    <w:p>
      <w:pPr>
        <w:spacing w:after="100"/>
      </w:pPr>
      <w:r>
        <w:t xml:space="preserve">Power plant operated robustly with 151.3 TPH steam generation and 29.39 MW average turbine load. Boilers and turbine PLF above target levels. Increased sugar plant process power consumption at 29.93% of generation. Aux consumptions stable.</w:t>
      </w:r>
    </w:p>
    <w:p>
      <w:pPr>
        <w:spacing w:before="200" w:after="100"/>
      </w:pPr>
      <w:r>
        <w:rPr>
          <w:b/>
          <w:bCs/>
          <w:color w:val="2E75B5"/>
          <w:sz w:val="22"/>
          <w:szCs w:val="22"/>
        </w:rPr>
        <w:t xml:space="preserve">8. Distillery Performance</w:t>
      </w:r>
    </w:p>
    <w:p>
      <w:pPr>
        <w:spacing w:after="100"/>
      </w:pPr>
      <w:r>
        <w:t xml:space="preserve">Distillery recovered efficiency with ethanol production at 8.33 LL and fermentation efficiency rising to 91.06%. Steam and power consumptions improved, with feedstock quality remaining consistent on syrup. Zero downtime for the week.</w:t>
      </w:r>
    </w:p>
    <w:p>
      <w:pPr>
        <w:spacing w:before="200" w:after="100"/>
      </w:pPr>
      <w:r>
        <w:rPr>
          <w:b/>
          <w:bCs/>
          <w:color w:val="2E75B5"/>
          <w:sz w:val="22"/>
          <w:szCs w:val="22"/>
        </w:rPr>
        <w:t xml:space="preserve">9. Quality Control &amp; EHS</w:t>
      </w:r>
    </w:p>
    <w:p>
      <w:pPr>
        <w:spacing w:after="100"/>
      </w:pPr>
      <w:r>
        <w:t xml:space="preserve">Total losses slightly increased but within manageable limits. Sugar quality indicators stable with positive trends in ICUMSA. EHS reports showed no accidents and timely resolution of near misses and hazards.</w:t>
      </w:r>
    </w:p>
    <w:p>
      <w:pPr>
        <w:spacing w:after="150"/>
      </w:pPr>
    </w:p>
    <w:p>
      <w:r>
        <w:rPr>
          <w:b/>
          <w:bCs/>
          <w:color w:val="C00000"/>
          <w:sz w:val="24"/>
          <w:szCs w:val="24"/>
        </w:rPr>
        <w:t xml:space="preserve">Risks &amp; Watch-outs for the Coming Week</w:t>
      </w:r>
    </w:p>
    <w:p>
      <w:pPr>
        <w:pStyle w:val="ListParagraph"/>
        <w:numPr>
          <w:ilvl w:val="0"/>
          <w:numId w:val="1"/>
        </w:numPr>
        <w:spacing w:before="80"/>
      </w:pPr>
      <w:r>
        <w:t xml:space="preserve">Indent failure persists with KCC loan, dead growers and uproot rattoon as major reasons.</w:t>
      </w:r>
    </w:p>
    <w:p>
      <w:pPr>
        <w:pStyle w:val="ListParagraph"/>
        <w:numPr>
          <w:ilvl w:val="0"/>
          <w:numId w:val="1"/>
        </w:numPr>
        <w:spacing w:before="80"/>
      </w:pPr>
      <w:r>
        <w:t xml:space="preserve">Mechanical risks with high downtime due to clutch plate failures and major engine seizure noted in cane loader performance.</w:t>
      </w:r>
    </w:p>
    <w:p>
      <w:pPr>
        <w:pStyle w:val="ListParagraph"/>
        <w:numPr>
          <w:ilvl w:val="0"/>
          <w:numId w:val="1"/>
        </w:numPr>
        <w:spacing w:before="80"/>
      </w:pPr>
      <w:r>
        <w:t xml:space="preserve">Molasses losses increased slightly; monitoring required.</w:t>
      </w:r>
    </w:p>
    <w:p>
      <w:pPr>
        <w:pStyle w:val="ListParagraph"/>
        <w:numPr>
          <w:ilvl w:val="0"/>
          <w:numId w:val="1"/>
        </w:numPr>
        <w:spacing w:before="80"/>
      </w:pPr>
      <w:r>
        <w:t xml:space="preserve">Overload induced stoppages on feeder drums and cane carriers need attention.</w:t>
      </w:r>
    </w:p>
    <w:p>
      <w:pPr>
        <w:pStyle w:val="ListParagraph"/>
        <w:numPr>
          <w:ilvl w:val="0"/>
          <w:numId w:val="1"/>
        </w:numPr>
        <w:spacing w:before="80"/>
      </w:pPr>
      <w:r>
        <w:t xml:space="preserve">Safety hazards mitigated with ongoing training and monitoring.</w:t>
      </w:r>
    </w:p>
    <w:p>
      <w:pPr>
        <w:spacing w:after="300"/>
      </w:pPr>
    </w:p>
    <w:p>
      <w:r>
        <w:rPr>
          <w:b/>
          <w:bCs/>
          <w:color w:val="006666"/>
          <w:sz w:val="24"/>
          <w:szCs w:val="24"/>
        </w:rPr>
        <w:t xml:space="preserve">TABLE A – Quantitative Discussion</w:t>
      </w:r>
    </w:p>
    <w:p>
      <w:pPr>
        <w:spacing w:after="15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shd w:fill="006666" w:color="auto" w:val="clear"/>
            <w:tcMar>
              <w:top w:type="dxa" w:w="100"/>
              <w:left w:type="dxa" w:w="100"/>
              <w:bottom w:type="dxa" w:w="100"/>
              <w:right w:type="dxa" w:w="100"/>
            </w:tcMar>
          </w:tcPr>
          <w:p>
            <w:pPr>
              <w:jc w:val="center"/>
            </w:pPr>
            <w:r>
              <w:rPr>
                <w:b/>
                <w:bCs/>
                <w:color w:val="FFFFFF"/>
              </w:rPr>
              <w:t xml:space="preserve">KPI</w:t>
            </w:r>
          </w:p>
        </w:tc>
        <w:tc>
          <w:tcPr>
            <w:shd w:fill="006666" w:color="auto" w:val="clear"/>
            <w:tcMar>
              <w:top w:type="dxa" w:w="100"/>
              <w:left w:type="dxa" w:w="100"/>
              <w:bottom w:type="dxa" w:w="100"/>
              <w:right w:type="dxa" w:w="100"/>
            </w:tcMar>
          </w:tcPr>
          <w:p>
            <w:pPr>
              <w:jc w:val="center"/>
            </w:pPr>
            <w:r>
              <w:rPr>
                <w:b/>
                <w:bCs/>
                <w:color w:val="FFFFFF"/>
              </w:rPr>
              <w:t xml:space="preserve">Current Week</w:t>
            </w:r>
          </w:p>
        </w:tc>
        <w:tc>
          <w:tcPr>
            <w:shd w:fill="006666" w:color="auto" w:val="clear"/>
            <w:tcMar>
              <w:top w:type="dxa" w:w="100"/>
              <w:left w:type="dxa" w:w="100"/>
              <w:bottom w:type="dxa" w:w="100"/>
              <w:right w:type="dxa" w:w="100"/>
            </w:tcMar>
          </w:tcPr>
          <w:p>
            <w:pPr>
              <w:jc w:val="center"/>
            </w:pPr>
            <w:r>
              <w:rPr>
                <w:b/>
                <w:bCs/>
                <w:color w:val="FFFFFF"/>
              </w:rPr>
              <w:t xml:space="preserve">Last Week</w:t>
            </w:r>
          </w:p>
        </w:tc>
        <w:tc>
          <w:tcPr>
            <w:shd w:fill="006666" w:color="auto" w:val="clear"/>
            <w:tcMar>
              <w:top w:type="dxa" w:w="100"/>
              <w:left w:type="dxa" w:w="100"/>
              <w:bottom w:type="dxa" w:w="100"/>
              <w:right w:type="dxa" w:w="100"/>
            </w:tcMar>
          </w:tcPr>
          <w:p>
            <w:pPr>
              <w:jc w:val="center"/>
            </w:pPr>
            <w:r>
              <w:rPr>
                <w:b/>
                <w:bCs/>
                <w:color w:val="FFFFFF"/>
              </w:rPr>
              <w:t xml:space="preserve">Till Date</w:t>
            </w:r>
          </w:p>
        </w:tc>
        <w:tc>
          <w:tcPr>
            <w:shd w:fill="006666" w:color="auto" w:val="clear"/>
            <w:tcMar>
              <w:top w:type="dxa" w:w="100"/>
              <w:left w:type="dxa" w:w="100"/>
              <w:bottom w:type="dxa" w:w="100"/>
              <w:right w:type="dxa" w:w="100"/>
            </w:tcMar>
          </w:tcPr>
          <w:p>
            <w:pPr>
              <w:jc w:val="center"/>
            </w:pPr>
            <w:r>
              <w:rPr>
                <w:b/>
                <w:bCs/>
                <w:color w:val="FFFFFF"/>
              </w:rPr>
              <w:t xml:space="preserve">WoW Change</w:t>
            </w:r>
          </w:p>
        </w:tc>
      </w:tr>
      <w:tr>
        <w:tc>
          <w:tcPr>
            <w:tcMar>
              <w:top w:type="dxa" w:w="80"/>
              <w:left w:type="dxa" w:w="100"/>
              <w:bottom w:type="dxa" w:w="80"/>
              <w:right w:type="dxa" w:w="100"/>
            </w:tcMar>
          </w:tcPr>
          <w:p>
            <w:r>
              <w:t xml:space="preserve">Cane Crushed (LQ)</w:t>
            </w:r>
          </w:p>
        </w:tc>
        <w:tc>
          <w:tcPr>
            <w:tcMar>
              <w:top w:type="dxa" w:w="80"/>
              <w:left w:type="dxa" w:w="100"/>
              <w:bottom w:type="dxa" w:w="80"/>
              <w:right w:type="dxa" w:w="100"/>
            </w:tcMar>
          </w:tcPr>
          <w:p>
            <w:r>
              <w:t xml:space="preserve">7.44</w:t>
            </w:r>
          </w:p>
        </w:tc>
        <w:tc>
          <w:tcPr>
            <w:tcMar>
              <w:top w:type="dxa" w:w="80"/>
              <w:left w:type="dxa" w:w="100"/>
              <w:bottom w:type="dxa" w:w="80"/>
              <w:right w:type="dxa" w:w="100"/>
            </w:tcMar>
          </w:tcPr>
          <w:p>
            <w:r>
              <w:t xml:space="preserve">7.36</w:t>
            </w:r>
          </w:p>
        </w:tc>
        <w:tc>
          <w:tcPr>
            <w:tcMar>
              <w:top w:type="dxa" w:w="80"/>
              <w:left w:type="dxa" w:w="100"/>
              <w:bottom w:type="dxa" w:w="80"/>
              <w:right w:type="dxa" w:w="100"/>
            </w:tcMar>
          </w:tcPr>
          <w:p>
            <w:r>
              <w:t xml:space="preserve">55.63</w:t>
            </w:r>
          </w:p>
        </w:tc>
        <w:tc>
          <w:tcPr>
            <w:tcMar>
              <w:top w:type="dxa" w:w="80"/>
              <w:left w:type="dxa" w:w="100"/>
              <w:bottom w:type="dxa" w:w="80"/>
              <w:right w:type="dxa" w:w="100"/>
            </w:tcMar>
          </w:tcPr>
          <w:p>
            <w:r>
              <w:t xml:space="preserve">+1.08%</w:t>
            </w:r>
          </w:p>
        </w:tc>
      </w:tr>
      <w:tr>
        <w:tc>
          <w:tcPr>
            <w:tcMar>
              <w:top w:type="dxa" w:w="80"/>
              <w:left w:type="dxa" w:w="100"/>
              <w:bottom w:type="dxa" w:w="80"/>
              <w:right w:type="dxa" w:w="100"/>
            </w:tcMar>
          </w:tcPr>
          <w:p>
            <w:r>
              <w:t xml:space="preserve">Sugar Recovery (%)</w:t>
            </w:r>
          </w:p>
        </w:tc>
        <w:tc>
          <w:tcPr>
            <w:tcMar>
              <w:top w:type="dxa" w:w="80"/>
              <w:left w:type="dxa" w:w="100"/>
              <w:bottom w:type="dxa" w:w="80"/>
              <w:right w:type="dxa" w:w="100"/>
            </w:tcMar>
          </w:tcPr>
          <w:p>
            <w:r>
              <w:t xml:space="preserve">10.43%</w:t>
            </w:r>
          </w:p>
        </w:tc>
        <w:tc>
          <w:tcPr>
            <w:tcMar>
              <w:top w:type="dxa" w:w="80"/>
              <w:left w:type="dxa" w:w="100"/>
              <w:bottom w:type="dxa" w:w="80"/>
              <w:right w:type="dxa" w:w="100"/>
            </w:tcMar>
          </w:tcPr>
          <w:p>
            <w:r>
              <w:t xml:space="preserve">10.48%</w:t>
            </w:r>
          </w:p>
        </w:tc>
        <w:tc>
          <w:tcPr>
            <w:tcMar>
              <w:top w:type="dxa" w:w="80"/>
              <w:left w:type="dxa" w:w="100"/>
              <w:bottom w:type="dxa" w:w="80"/>
              <w:right w:type="dxa" w:w="100"/>
            </w:tcMar>
          </w:tcPr>
          <w:p>
            <w:r>
              <w:t xml:space="preserve">9.81%</w:t>
            </w:r>
          </w:p>
        </w:tc>
        <w:tc>
          <w:tcPr>
            <w:tcMar>
              <w:top w:type="dxa" w:w="80"/>
              <w:left w:type="dxa" w:w="100"/>
              <w:bottom w:type="dxa" w:w="80"/>
              <w:right w:type="dxa" w:w="100"/>
            </w:tcMar>
          </w:tcPr>
          <w:p>
            <w:r>
              <w:t xml:space="preserve">Stable</w:t>
            </w:r>
          </w:p>
        </w:tc>
      </w:tr>
      <w:tr>
        <w:tc>
          <w:tcPr>
            <w:tcMar>
              <w:top w:type="dxa" w:w="80"/>
              <w:left w:type="dxa" w:w="100"/>
              <w:bottom w:type="dxa" w:w="80"/>
              <w:right w:type="dxa" w:w="100"/>
            </w:tcMar>
          </w:tcPr>
          <w:p>
            <w:r>
              <w:t xml:space="preserve">Sugar Produced (LQ)</w:t>
            </w:r>
          </w:p>
        </w:tc>
        <w:tc>
          <w:tcPr>
            <w:tcMar>
              <w:top w:type="dxa" w:w="80"/>
              <w:left w:type="dxa" w:w="100"/>
              <w:bottom w:type="dxa" w:w="80"/>
              <w:right w:type="dxa" w:w="100"/>
            </w:tcMar>
          </w:tcPr>
          <w:p>
            <w:r>
              <w:t xml:space="preserve">0.64</w:t>
            </w:r>
          </w:p>
        </w:tc>
        <w:tc>
          <w:tcPr>
            <w:tcMar>
              <w:top w:type="dxa" w:w="80"/>
              <w:left w:type="dxa" w:w="100"/>
              <w:bottom w:type="dxa" w:w="80"/>
              <w:right w:type="dxa" w:w="100"/>
            </w:tcMar>
          </w:tcPr>
          <w:p>
            <w:r>
              <w:t xml:space="preserve">0.67</w:t>
            </w:r>
          </w:p>
        </w:tc>
        <w:tc>
          <w:tcPr>
            <w:tcMar>
              <w:top w:type="dxa" w:w="80"/>
              <w:left w:type="dxa" w:w="100"/>
              <w:bottom w:type="dxa" w:w="80"/>
              <w:right w:type="dxa" w:w="100"/>
            </w:tcMar>
          </w:tcPr>
          <w:p>
            <w:r>
              <w:t xml:space="preserve">4.48</w:t>
            </w:r>
          </w:p>
        </w:tc>
        <w:tc>
          <w:tcPr>
            <w:tcMar>
              <w:top w:type="dxa" w:w="80"/>
              <w:left w:type="dxa" w:w="100"/>
              <w:bottom w:type="dxa" w:w="80"/>
              <w:right w:type="dxa" w:w="100"/>
            </w:tcMar>
          </w:tcPr>
          <w:p>
            <w:r>
              <w:t xml:space="preserve">-4.48%</w:t>
            </w:r>
          </w:p>
        </w:tc>
      </w:tr>
      <w:tr>
        <w:tc>
          <w:tcPr>
            <w:tcMar>
              <w:top w:type="dxa" w:w="80"/>
              <w:left w:type="dxa" w:w="100"/>
              <w:bottom w:type="dxa" w:w="80"/>
              <w:right w:type="dxa" w:w="100"/>
            </w:tcMar>
          </w:tcPr>
          <w:p>
            <w:r>
              <w:t xml:space="preserve">Capacity Utilization (%)</w:t>
            </w:r>
          </w:p>
        </w:tc>
        <w:tc>
          <w:tcPr>
            <w:tcMar>
              <w:top w:type="dxa" w:w="80"/>
              <w:left w:type="dxa" w:w="100"/>
              <w:bottom w:type="dxa" w:w="80"/>
              <w:right w:type="dxa" w:w="100"/>
            </w:tcMar>
          </w:tcPr>
          <w:p>
            <w:r>
              <w:t xml:space="preserve">106.21%</w:t>
            </w:r>
          </w:p>
        </w:tc>
        <w:tc>
          <w:tcPr>
            <w:tcMar>
              <w:top w:type="dxa" w:w="80"/>
              <w:left w:type="dxa" w:w="100"/>
              <w:bottom w:type="dxa" w:w="80"/>
              <w:right w:type="dxa" w:w="100"/>
            </w:tcMar>
          </w:tcPr>
          <w:p>
            <w:r>
              <w:t xml:space="preserve">105.14%</w:t>
            </w:r>
          </w:p>
        </w:tc>
        <w:tc>
          <w:tcPr>
            <w:tcMar>
              <w:top w:type="dxa" w:w="80"/>
              <w:left w:type="dxa" w:w="100"/>
              <w:bottom w:type="dxa" w:w="80"/>
              <w:right w:type="dxa" w:w="100"/>
            </w:tcMar>
          </w:tcPr>
          <w:p>
            <w:r>
              <w:t xml:space="preserve">99.34%</w:t>
            </w:r>
          </w:p>
        </w:tc>
        <w:tc>
          <w:tcPr>
            <w:tcMar>
              <w:top w:type="dxa" w:w="80"/>
              <w:left w:type="dxa" w:w="100"/>
              <w:bottom w:type="dxa" w:w="80"/>
              <w:right w:type="dxa" w:w="100"/>
            </w:tcMar>
          </w:tcPr>
          <w:p>
            <w:r>
              <w:t xml:space="preserve">+1.07pp</w:t>
            </w:r>
          </w:p>
        </w:tc>
      </w:tr>
      <w:tr>
        <w:tc>
          <w:tcPr>
            <w:tcMar>
              <w:top w:type="dxa" w:w="80"/>
              <w:left w:type="dxa" w:w="100"/>
              <w:bottom w:type="dxa" w:w="80"/>
              <w:right w:type="dxa" w:w="100"/>
            </w:tcMar>
          </w:tcPr>
          <w:p>
            <w:r>
              <w:t xml:space="preserve">Total Losses (%)</w:t>
            </w:r>
          </w:p>
        </w:tc>
        <w:tc>
          <w:tcPr>
            <w:tcMar>
              <w:top w:type="dxa" w:w="80"/>
              <w:left w:type="dxa" w:w="100"/>
              <w:bottom w:type="dxa" w:w="80"/>
              <w:right w:type="dxa" w:w="100"/>
            </w:tcMar>
          </w:tcPr>
          <w:p>
            <w:r>
              <w:t xml:space="preserve">2.47%</w:t>
            </w:r>
          </w:p>
        </w:tc>
        <w:tc>
          <w:tcPr>
            <w:tcMar>
              <w:top w:type="dxa" w:w="80"/>
              <w:left w:type="dxa" w:w="100"/>
              <w:bottom w:type="dxa" w:w="80"/>
              <w:right w:type="dxa" w:w="100"/>
            </w:tcMar>
          </w:tcPr>
          <w:p>
            <w:r>
              <w:t xml:space="preserve">2.22%</w:t>
            </w:r>
          </w:p>
        </w:tc>
        <w:tc>
          <w:tcPr>
            <w:tcMar>
              <w:top w:type="dxa" w:w="80"/>
              <w:left w:type="dxa" w:w="100"/>
              <w:bottom w:type="dxa" w:w="80"/>
              <w:right w:type="dxa" w:w="100"/>
            </w:tcMar>
          </w:tcPr>
          <w:p>
            <w:r>
              <w:t xml:space="preserve">2.00%</w:t>
            </w:r>
          </w:p>
        </w:tc>
        <w:tc>
          <w:tcPr>
            <w:tcMar>
              <w:top w:type="dxa" w:w="80"/>
              <w:left w:type="dxa" w:w="100"/>
              <w:bottom w:type="dxa" w:w="80"/>
              <w:right w:type="dxa" w:w="100"/>
            </w:tcMar>
          </w:tcPr>
          <w:p>
            <w:r>
              <w:t xml:space="preserve">+0.25pp</w:t>
            </w:r>
          </w:p>
        </w:tc>
      </w:tr>
      <w:tr>
        <w:tc>
          <w:tcPr>
            <w:tcMar>
              <w:top w:type="dxa" w:w="80"/>
              <w:left w:type="dxa" w:w="100"/>
              <w:bottom w:type="dxa" w:w="80"/>
              <w:right w:type="dxa" w:w="100"/>
            </w:tcMar>
          </w:tcPr>
          <w:p>
            <w:r>
              <w:t xml:space="preserve">Pol % Bagasse</w:t>
            </w:r>
          </w:p>
        </w:tc>
        <w:tc>
          <w:tcPr>
            <w:tcMar>
              <w:top w:type="dxa" w:w="80"/>
              <w:left w:type="dxa" w:w="100"/>
              <w:bottom w:type="dxa" w:w="80"/>
              <w:right w:type="dxa" w:w="100"/>
            </w:tcMar>
          </w:tcPr>
          <w:p>
            <w:r>
              <w:t xml:space="preserve">1.71%</w:t>
            </w:r>
          </w:p>
        </w:tc>
        <w:tc>
          <w:tcPr>
            <w:tcMar>
              <w:top w:type="dxa" w:w="80"/>
              <w:left w:type="dxa" w:w="100"/>
              <w:bottom w:type="dxa" w:w="80"/>
              <w:right w:type="dxa" w:w="100"/>
            </w:tcMar>
          </w:tcPr>
          <w:p>
            <w:r>
              <w:t xml:space="preserve">1.72%</w:t>
            </w:r>
          </w:p>
        </w:tc>
        <w:tc>
          <w:tcPr>
            <w:tcMar>
              <w:top w:type="dxa" w:w="80"/>
              <w:left w:type="dxa" w:w="100"/>
              <w:bottom w:type="dxa" w:w="80"/>
              <w:right w:type="dxa" w:w="100"/>
            </w:tcMar>
          </w:tcPr>
          <w:p>
            <w:r>
              <w:t xml:space="preserve">1.76%</w:t>
            </w:r>
          </w:p>
        </w:tc>
        <w:tc>
          <w:tcPr>
            <w:tcMar>
              <w:top w:type="dxa" w:w="80"/>
              <w:left w:type="dxa" w:w="100"/>
              <w:bottom w:type="dxa" w:w="80"/>
              <w:right w:type="dxa" w:w="100"/>
            </w:tcMar>
          </w:tcPr>
          <w:p>
            <w:r>
              <w:t xml:space="preserve">Stable</w:t>
            </w:r>
          </w:p>
        </w:tc>
      </w:tr>
      <w:tr>
        <w:tc>
          <w:tcPr>
            <w:tcMar>
              <w:top w:type="dxa" w:w="80"/>
              <w:left w:type="dxa" w:w="100"/>
              <w:bottom w:type="dxa" w:w="80"/>
              <w:right w:type="dxa" w:w="100"/>
            </w:tcMar>
          </w:tcPr>
          <w:p>
            <w:r>
              <w:t xml:space="preserve">DS ICUMSA (M-sugar)</w:t>
            </w:r>
          </w:p>
        </w:tc>
        <w:tc>
          <w:tcPr>
            <w:tcMar>
              <w:top w:type="dxa" w:w="80"/>
              <w:left w:type="dxa" w:w="100"/>
              <w:bottom w:type="dxa" w:w="80"/>
              <w:right w:type="dxa" w:w="100"/>
            </w:tcMar>
          </w:tcPr>
          <w:p>
            <w:r>
              <w:t xml:space="preserve">103</w:t>
            </w:r>
          </w:p>
        </w:tc>
        <w:tc>
          <w:tcPr>
            <w:tcMar>
              <w:top w:type="dxa" w:w="80"/>
              <w:left w:type="dxa" w:w="100"/>
              <w:bottom w:type="dxa" w:w="80"/>
              <w:right w:type="dxa" w:w="100"/>
            </w:tcMar>
          </w:tcPr>
          <w:p>
            <w:r>
              <w:t xml:space="preserve">110</w:t>
            </w:r>
          </w:p>
        </w:tc>
        <w:tc>
          <w:tcPr>
            <w:tcMar>
              <w:top w:type="dxa" w:w="80"/>
              <w:left w:type="dxa" w:w="100"/>
              <w:bottom w:type="dxa" w:w="80"/>
              <w:right w:type="dxa" w:w="100"/>
            </w:tcMar>
          </w:tcPr>
          <w:p>
            <w:r>
              <w:t xml:space="preserve">110</w:t>
            </w:r>
          </w:p>
        </w:tc>
        <w:tc>
          <w:tcPr>
            <w:tcMar>
              <w:top w:type="dxa" w:w="80"/>
              <w:left w:type="dxa" w:w="100"/>
              <w:bottom w:type="dxa" w:w="80"/>
              <w:right w:type="dxa" w:w="100"/>
            </w:tcMar>
          </w:tcPr>
          <w:p>
            <w:r>
              <w:t xml:space="preserve">-6.36%</w:t>
            </w:r>
          </w:p>
        </w:tc>
      </w:tr>
      <w:tr>
        <w:tc>
          <w:tcPr>
            <w:tcMar>
              <w:top w:type="dxa" w:w="80"/>
              <w:left w:type="dxa" w:w="100"/>
              <w:bottom w:type="dxa" w:w="80"/>
              <w:right w:type="dxa" w:w="100"/>
            </w:tcMar>
          </w:tcPr>
          <w:p>
            <w:r>
              <w:t xml:space="preserve">Power Generation (LU)</w:t>
            </w:r>
          </w:p>
        </w:tc>
        <w:tc>
          <w:tcPr>
            <w:tcMar>
              <w:top w:type="dxa" w:w="80"/>
              <w:left w:type="dxa" w:w="100"/>
              <w:bottom w:type="dxa" w:w="80"/>
              <w:right w:type="dxa" w:w="100"/>
            </w:tcMar>
          </w:tcPr>
          <w:p>
            <w:r>
              <w:t xml:space="preserve">65.38</w:t>
            </w:r>
          </w:p>
        </w:tc>
        <w:tc>
          <w:tcPr>
            <w:tcMar>
              <w:top w:type="dxa" w:w="80"/>
              <w:left w:type="dxa" w:w="100"/>
              <w:bottom w:type="dxa" w:w="80"/>
              <w:right w:type="dxa" w:w="100"/>
            </w:tcMar>
          </w:tcPr>
          <w:p>
            <w:r>
              <w:t xml:space="preserve">65.66</w:t>
            </w:r>
          </w:p>
        </w:tc>
        <w:tc>
          <w:tcPr>
            <w:tcMar>
              <w:top w:type="dxa" w:w="80"/>
              <w:left w:type="dxa" w:w="100"/>
              <w:bottom w:type="dxa" w:w="80"/>
              <w:right w:type="dxa" w:w="100"/>
            </w:tcMar>
          </w:tcPr>
          <w:p>
            <w:r>
              <w:t xml:space="preserve">507.27</w:t>
            </w:r>
          </w:p>
        </w:tc>
        <w:tc>
          <w:tcPr>
            <w:tcMar>
              <w:top w:type="dxa" w:w="80"/>
              <w:left w:type="dxa" w:w="100"/>
              <w:bottom w:type="dxa" w:w="80"/>
              <w:right w:type="dxa" w:w="100"/>
            </w:tcMar>
          </w:tcPr>
          <w:p>
            <w:r>
              <w:t xml:space="preserve">-0.43%</w:t>
            </w:r>
          </w:p>
        </w:tc>
      </w:tr>
      <w:tr>
        <w:tc>
          <w:tcPr>
            <w:tcMar>
              <w:top w:type="dxa" w:w="80"/>
              <w:left w:type="dxa" w:w="100"/>
              <w:bottom w:type="dxa" w:w="80"/>
              <w:right w:type="dxa" w:w="100"/>
            </w:tcMar>
          </w:tcPr>
          <w:p>
            <w:r>
              <w:t xml:space="preserve">Power Export (LU)</w:t>
            </w:r>
          </w:p>
        </w:tc>
        <w:tc>
          <w:tcPr>
            <w:tcMar>
              <w:top w:type="dxa" w:w="80"/>
              <w:left w:type="dxa" w:w="100"/>
              <w:bottom w:type="dxa" w:w="80"/>
              <w:right w:type="dxa" w:w="100"/>
            </w:tcMar>
          </w:tcPr>
          <w:p>
            <w:r>
              <w:t xml:space="preserve">38.00</w:t>
            </w:r>
          </w:p>
        </w:tc>
        <w:tc>
          <w:tcPr>
            <w:tcMar>
              <w:top w:type="dxa" w:w="80"/>
              <w:left w:type="dxa" w:w="100"/>
              <w:bottom w:type="dxa" w:w="80"/>
              <w:right w:type="dxa" w:w="100"/>
            </w:tcMar>
          </w:tcPr>
          <w:p>
            <w:r>
              <w:t xml:space="preserve">39.03</w:t>
            </w:r>
          </w:p>
        </w:tc>
        <w:tc>
          <w:tcPr>
            <w:tcMar>
              <w:top w:type="dxa" w:w="80"/>
              <w:left w:type="dxa" w:w="100"/>
              <w:bottom w:type="dxa" w:w="80"/>
              <w:right w:type="dxa" w:w="100"/>
            </w:tcMar>
          </w:tcPr>
          <w:p>
            <w:r>
              <w:t xml:space="preserve">302.01</w:t>
            </w:r>
          </w:p>
        </w:tc>
        <w:tc>
          <w:tcPr>
            <w:tcMar>
              <w:top w:type="dxa" w:w="80"/>
              <w:left w:type="dxa" w:w="100"/>
              <w:bottom w:type="dxa" w:w="80"/>
              <w:right w:type="dxa" w:w="100"/>
            </w:tcMar>
          </w:tcPr>
          <w:p>
            <w:r>
              <w:t xml:space="preserve">-2.64%</w:t>
            </w:r>
          </w:p>
        </w:tc>
      </w:tr>
      <w:tr>
        <w:tc>
          <w:tcPr>
            <w:tcMar>
              <w:top w:type="dxa" w:w="80"/>
              <w:left w:type="dxa" w:w="100"/>
              <w:bottom w:type="dxa" w:w="80"/>
              <w:right w:type="dxa" w:w="100"/>
            </w:tcMar>
          </w:tcPr>
          <w:p>
            <w:r>
              <w:t xml:space="preserve">Power PLF - 30.85 MW (%)</w:t>
            </w:r>
          </w:p>
        </w:tc>
        <w:tc>
          <w:tcPr>
            <w:tcMar>
              <w:top w:type="dxa" w:w="80"/>
              <w:left w:type="dxa" w:w="100"/>
              <w:bottom w:type="dxa" w:w="80"/>
              <w:right w:type="dxa" w:w="100"/>
            </w:tcMar>
          </w:tcPr>
          <w:p>
            <w:r>
              <w:t xml:space="preserve">97.96%</w:t>
            </w:r>
          </w:p>
        </w:tc>
        <w:tc>
          <w:tcPr>
            <w:tcMar>
              <w:top w:type="dxa" w:w="80"/>
              <w:left w:type="dxa" w:w="100"/>
              <w:bottom w:type="dxa" w:w="80"/>
              <w:right w:type="dxa" w:w="100"/>
            </w:tcMar>
          </w:tcPr>
          <w:p>
            <w:r>
              <w:t xml:space="preserve">98.21%</w:t>
            </w:r>
          </w:p>
        </w:tc>
        <w:tc>
          <w:tcPr>
            <w:tcMar>
              <w:top w:type="dxa" w:w="80"/>
              <w:left w:type="dxa" w:w="100"/>
              <w:bottom w:type="dxa" w:w="80"/>
              <w:right w:type="dxa" w:w="100"/>
            </w:tcMar>
          </w:tcPr>
          <w:p>
            <w:r>
              <w:t xml:space="preserve">-</w:t>
            </w:r>
          </w:p>
        </w:tc>
        <w:tc>
          <w:tcPr>
            <w:tcMar>
              <w:top w:type="dxa" w:w="80"/>
              <w:left w:type="dxa" w:w="100"/>
              <w:bottom w:type="dxa" w:w="80"/>
              <w:right w:type="dxa" w:w="100"/>
            </w:tcMar>
          </w:tcPr>
          <w:p>
            <w:r>
              <w:t xml:space="preserve">-0.25pp</w:t>
            </w:r>
          </w:p>
        </w:tc>
      </w:tr>
      <w:tr>
        <w:tc>
          <w:tcPr>
            <w:tcMar>
              <w:top w:type="dxa" w:w="80"/>
              <w:left w:type="dxa" w:w="100"/>
              <w:bottom w:type="dxa" w:w="80"/>
              <w:right w:type="dxa" w:w="100"/>
            </w:tcMar>
          </w:tcPr>
          <w:p>
            <w:r>
              <w:t xml:space="preserve">150 TPH Boiler (TPH)</w:t>
            </w:r>
          </w:p>
        </w:tc>
        <w:tc>
          <w:tcPr>
            <w:tcMar>
              <w:top w:type="dxa" w:w="80"/>
              <w:left w:type="dxa" w:w="100"/>
              <w:bottom w:type="dxa" w:w="80"/>
              <w:right w:type="dxa" w:w="100"/>
            </w:tcMar>
          </w:tcPr>
          <w:p>
            <w:r>
              <w:t xml:space="preserve">151.3</w:t>
            </w:r>
          </w:p>
        </w:tc>
        <w:tc>
          <w:tcPr>
            <w:tcMar>
              <w:top w:type="dxa" w:w="80"/>
              <w:left w:type="dxa" w:w="100"/>
              <w:bottom w:type="dxa" w:w="80"/>
              <w:right w:type="dxa" w:w="100"/>
            </w:tcMar>
          </w:tcPr>
          <w:p>
            <w:r>
              <w:t xml:space="preserve">151.1</w:t>
            </w:r>
          </w:p>
        </w:tc>
        <w:tc>
          <w:tcPr>
            <w:tcMar>
              <w:top w:type="dxa" w:w="80"/>
              <w:left w:type="dxa" w:w="100"/>
              <w:bottom w:type="dxa" w:w="80"/>
              <w:right w:type="dxa" w:w="100"/>
            </w:tcMar>
          </w:tcPr>
          <w:p>
            <w:r>
              <w:t xml:space="preserve">150.5</w:t>
            </w:r>
          </w:p>
        </w:tc>
        <w:tc>
          <w:tcPr>
            <w:tcMar>
              <w:top w:type="dxa" w:w="80"/>
              <w:left w:type="dxa" w:w="100"/>
              <w:bottom w:type="dxa" w:w="80"/>
              <w:right w:type="dxa" w:w="100"/>
            </w:tcMar>
          </w:tcPr>
          <w:p>
            <w:r>
              <w:t xml:space="preserve">+0.13%</w:t>
            </w:r>
          </w:p>
        </w:tc>
      </w:tr>
      <w:tr>
        <w:tc>
          <w:tcPr>
            <w:tcMar>
              <w:top w:type="dxa" w:w="80"/>
              <w:left w:type="dxa" w:w="100"/>
              <w:bottom w:type="dxa" w:w="80"/>
              <w:right w:type="dxa" w:w="100"/>
            </w:tcMar>
          </w:tcPr>
          <w:p>
            <w:r>
              <w:t xml:space="preserve">Ethanol Produced (LL)</w:t>
            </w:r>
          </w:p>
        </w:tc>
        <w:tc>
          <w:tcPr>
            <w:tcMar>
              <w:top w:type="dxa" w:w="80"/>
              <w:left w:type="dxa" w:w="100"/>
              <w:bottom w:type="dxa" w:w="80"/>
              <w:right w:type="dxa" w:w="100"/>
            </w:tcMar>
          </w:tcPr>
          <w:p>
            <w:r>
              <w:t xml:space="preserve">8.33</w:t>
            </w:r>
          </w:p>
        </w:tc>
        <w:tc>
          <w:tcPr>
            <w:tcMar>
              <w:top w:type="dxa" w:w="80"/>
              <w:left w:type="dxa" w:w="100"/>
              <w:bottom w:type="dxa" w:w="80"/>
              <w:right w:type="dxa" w:w="100"/>
            </w:tcMar>
          </w:tcPr>
          <w:p>
            <w:r>
              <w:t xml:space="preserve">7.88</w:t>
            </w:r>
          </w:p>
        </w:tc>
        <w:tc>
          <w:tcPr>
            <w:tcMar>
              <w:top w:type="dxa" w:w="80"/>
              <w:left w:type="dxa" w:w="100"/>
              <w:bottom w:type="dxa" w:w="80"/>
              <w:right w:type="dxa" w:w="100"/>
            </w:tcMar>
          </w:tcPr>
          <w:p>
            <w:r>
              <w:t xml:space="preserve">60.79</w:t>
            </w:r>
          </w:p>
        </w:tc>
        <w:tc>
          <w:tcPr>
            <w:tcMar>
              <w:top w:type="dxa" w:w="80"/>
              <w:left w:type="dxa" w:w="100"/>
              <w:bottom w:type="dxa" w:w="80"/>
              <w:right w:type="dxa" w:w="100"/>
            </w:tcMar>
          </w:tcPr>
          <w:p>
            <w:r>
              <w:t xml:space="preserve">+5.70%</w:t>
            </w:r>
          </w:p>
        </w:tc>
      </w:tr>
      <w:tr>
        <w:tc>
          <w:tcPr>
            <w:tcMar>
              <w:top w:type="dxa" w:w="80"/>
              <w:left w:type="dxa" w:w="100"/>
              <w:bottom w:type="dxa" w:w="80"/>
              <w:right w:type="dxa" w:w="100"/>
            </w:tcMar>
          </w:tcPr>
          <w:p>
            <w:r>
              <w:t xml:space="preserve">Distillery PUF (%)</w:t>
            </w:r>
          </w:p>
        </w:tc>
        <w:tc>
          <w:tcPr>
            <w:tcMar>
              <w:top w:type="dxa" w:w="80"/>
              <w:left w:type="dxa" w:w="100"/>
              <w:bottom w:type="dxa" w:w="80"/>
              <w:right w:type="dxa" w:w="100"/>
            </w:tcMar>
          </w:tcPr>
          <w:p>
            <w:r>
              <w:t xml:space="preserve">95.21%</w:t>
            </w:r>
          </w:p>
        </w:tc>
        <w:tc>
          <w:tcPr>
            <w:tcMar>
              <w:top w:type="dxa" w:w="80"/>
              <w:left w:type="dxa" w:w="100"/>
              <w:bottom w:type="dxa" w:w="80"/>
              <w:right w:type="dxa" w:w="100"/>
            </w:tcMar>
          </w:tcPr>
          <w:p>
            <w:r>
              <w:t xml:space="preserve">93.37%</w:t>
            </w:r>
          </w:p>
        </w:tc>
        <w:tc>
          <w:tcPr>
            <w:tcMar>
              <w:top w:type="dxa" w:w="80"/>
              <w:left w:type="dxa" w:w="100"/>
              <w:bottom w:type="dxa" w:w="80"/>
              <w:right w:type="dxa" w:w="100"/>
            </w:tcMar>
          </w:tcPr>
          <w:p>
            <w:r>
              <w:t xml:space="preserve">95.24%</w:t>
            </w:r>
          </w:p>
        </w:tc>
        <w:tc>
          <w:tcPr>
            <w:tcMar>
              <w:top w:type="dxa" w:w="80"/>
              <w:left w:type="dxa" w:w="100"/>
              <w:bottom w:type="dxa" w:w="80"/>
              <w:right w:type="dxa" w:w="100"/>
            </w:tcMar>
          </w:tcPr>
          <w:p>
            <w:r>
              <w:t xml:space="preserve">+1.84pp</w:t>
            </w:r>
          </w:p>
        </w:tc>
      </w:tr>
      <w:tr>
        <w:tc>
          <w:tcPr>
            <w:tcMar>
              <w:top w:type="dxa" w:w="80"/>
              <w:left w:type="dxa" w:w="100"/>
              <w:bottom w:type="dxa" w:w="80"/>
              <w:right w:type="dxa" w:w="100"/>
            </w:tcMar>
          </w:tcPr>
          <w:p>
            <w:r>
              <w:t xml:space="preserve">Fermentation Eff. (%)</w:t>
            </w:r>
          </w:p>
        </w:tc>
        <w:tc>
          <w:tcPr>
            <w:tcMar>
              <w:top w:type="dxa" w:w="80"/>
              <w:left w:type="dxa" w:w="100"/>
              <w:bottom w:type="dxa" w:w="80"/>
              <w:right w:type="dxa" w:w="100"/>
            </w:tcMar>
          </w:tcPr>
          <w:p>
            <w:r>
              <w:t xml:space="preserve">91.06%</w:t>
            </w:r>
          </w:p>
        </w:tc>
        <w:tc>
          <w:tcPr>
            <w:tcMar>
              <w:top w:type="dxa" w:w="80"/>
              <w:left w:type="dxa" w:w="100"/>
              <w:bottom w:type="dxa" w:w="80"/>
              <w:right w:type="dxa" w:w="100"/>
            </w:tcMar>
          </w:tcPr>
          <w:p>
            <w:r>
              <w:t xml:space="preserve">90.76%</w:t>
            </w:r>
          </w:p>
        </w:tc>
        <w:tc>
          <w:tcPr>
            <w:tcMar>
              <w:top w:type="dxa" w:w="80"/>
              <w:left w:type="dxa" w:w="100"/>
              <w:bottom w:type="dxa" w:w="80"/>
              <w:right w:type="dxa" w:w="100"/>
            </w:tcMar>
          </w:tcPr>
          <w:p>
            <w:r>
              <w:t xml:space="preserve">-</w:t>
            </w:r>
          </w:p>
        </w:tc>
        <w:tc>
          <w:tcPr>
            <w:tcMar>
              <w:top w:type="dxa" w:w="80"/>
              <w:left w:type="dxa" w:w="100"/>
              <w:bottom w:type="dxa" w:w="80"/>
              <w:right w:type="dxa" w:w="100"/>
            </w:tcMar>
          </w:tcPr>
          <w:p>
            <w:r>
              <w:t xml:space="preserve">+0.30pp</w:t>
            </w:r>
          </w:p>
        </w:tc>
      </w:tr>
      <w:tr>
        <w:tc>
          <w:tcPr>
            <w:tcMar>
              <w:top w:type="dxa" w:w="80"/>
              <w:left w:type="dxa" w:w="100"/>
              <w:bottom w:type="dxa" w:w="80"/>
              <w:right w:type="dxa" w:w="100"/>
            </w:tcMar>
          </w:tcPr>
          <w:p>
            <w:r>
              <w:t xml:space="preserve">Steam Consumed (Kg/BL)</w:t>
            </w:r>
          </w:p>
        </w:tc>
        <w:tc>
          <w:tcPr>
            <w:tcMar>
              <w:top w:type="dxa" w:w="80"/>
              <w:left w:type="dxa" w:w="100"/>
              <w:bottom w:type="dxa" w:w="80"/>
              <w:right w:type="dxa" w:w="100"/>
            </w:tcMar>
          </w:tcPr>
          <w:p>
            <w:r>
              <w:t xml:space="preserve">4.02</w:t>
            </w:r>
          </w:p>
        </w:tc>
        <w:tc>
          <w:tcPr>
            <w:tcMar>
              <w:top w:type="dxa" w:w="80"/>
              <w:left w:type="dxa" w:w="100"/>
              <w:bottom w:type="dxa" w:w="80"/>
              <w:right w:type="dxa" w:w="100"/>
            </w:tcMar>
          </w:tcPr>
          <w:p>
            <w:r>
              <w:t xml:space="preserve">4.35</w:t>
            </w:r>
          </w:p>
        </w:tc>
        <w:tc>
          <w:tcPr>
            <w:tcMar>
              <w:top w:type="dxa" w:w="80"/>
              <w:left w:type="dxa" w:w="100"/>
              <w:bottom w:type="dxa" w:w="80"/>
              <w:right w:type="dxa" w:w="100"/>
            </w:tcMar>
          </w:tcPr>
          <w:p>
            <w:r>
              <w:t xml:space="preserve">4.12</w:t>
            </w:r>
          </w:p>
        </w:tc>
        <w:tc>
          <w:tcPr>
            <w:tcMar>
              <w:top w:type="dxa" w:w="80"/>
              <w:left w:type="dxa" w:w="100"/>
              <w:bottom w:type="dxa" w:w="80"/>
              <w:right w:type="dxa" w:w="100"/>
            </w:tcMar>
          </w:tcPr>
          <w:p>
            <w:r>
              <w:t xml:space="preserve">-7.59%</w:t>
            </w:r>
          </w:p>
        </w:tc>
      </w:tr>
    </w:tbl>
    <w:p>
      <w:pPr>
        <w:spacing w:after="300"/>
      </w:pPr>
    </w:p>
    <w:p>
      <w:r>
        <w:rPr>
          <w:b/>
          <w:bCs/>
          <w:color w:val="006666"/>
          <w:sz w:val="24"/>
          <w:szCs w:val="24"/>
        </w:rPr>
        <w:t xml:space="preserve">TABLE B – Qualitative Discussion</w:t>
      </w:r>
    </w:p>
    <w:p>
      <w:pPr>
        <w:spacing w:after="15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006666" w:color="auto" w:val="clear"/>
            <w:tcMar>
              <w:top w:type="dxa" w:w="100"/>
              <w:left w:type="dxa" w:w="100"/>
              <w:bottom w:type="dxa" w:w="100"/>
              <w:right w:type="dxa" w:w="100"/>
            </w:tcMar>
          </w:tcPr>
          <w:p>
            <w:pPr>
              <w:jc w:val="center"/>
            </w:pPr>
            <w:r>
              <w:rPr>
                <w:b/>
                <w:bCs/>
                <w:color w:val="FFFFFF"/>
              </w:rPr>
              <w:t xml:space="preserve">Area</w:t>
            </w:r>
          </w:p>
        </w:tc>
        <w:tc>
          <w:tcPr>
            <w:shd w:fill="006666" w:color="auto" w:val="clear"/>
            <w:tcMar>
              <w:top w:type="dxa" w:w="100"/>
              <w:left w:type="dxa" w:w="100"/>
              <w:bottom w:type="dxa" w:w="100"/>
              <w:right w:type="dxa" w:w="100"/>
            </w:tcMar>
          </w:tcPr>
          <w:p>
            <w:pPr>
              <w:jc w:val="center"/>
            </w:pPr>
            <w:r>
              <w:rPr>
                <w:b/>
                <w:bCs/>
                <w:color w:val="FFFFFF"/>
              </w:rPr>
              <w:t xml:space="preserve">Current Week Narrative</w:t>
            </w:r>
          </w:p>
        </w:tc>
        <w:tc>
          <w:tcPr>
            <w:shd w:fill="006666" w:color="auto" w:val="clear"/>
            <w:tcMar>
              <w:top w:type="dxa" w:w="100"/>
              <w:left w:type="dxa" w:w="100"/>
              <w:bottom w:type="dxa" w:w="100"/>
              <w:right w:type="dxa" w:w="100"/>
            </w:tcMar>
          </w:tcPr>
          <w:p>
            <w:pPr>
              <w:jc w:val="center"/>
            </w:pPr>
            <w:r>
              <w:rPr>
                <w:b/>
                <w:bCs/>
                <w:color w:val="FFFFFF"/>
              </w:rPr>
              <w:t xml:space="preserve">Change vs Last Week</w:t>
            </w:r>
          </w:p>
        </w:tc>
      </w:tr>
      <w:tr>
        <w:tc>
          <w:tcPr>
            <w:tcMar>
              <w:top w:type="dxa" w:w="80"/>
              <w:left w:type="dxa" w:w="100"/>
              <w:bottom w:type="dxa" w:w="80"/>
              <w:right w:type="dxa" w:w="100"/>
            </w:tcMar>
          </w:tcPr>
          <w:p>
            <w:r>
              <w:t xml:space="preserve">Engineering</w:t>
            </w:r>
          </w:p>
        </w:tc>
        <w:tc>
          <w:tcPr>
            <w:tcMar>
              <w:top w:type="dxa" w:w="80"/>
              <w:left w:type="dxa" w:w="100"/>
              <w:bottom w:type="dxa" w:w="80"/>
              <w:right w:type="dxa" w:w="100"/>
            </w:tcMar>
          </w:tcPr>
          <w:p>
            <w:r>
              <w:t xml:space="preserve">Uptime at 99.53%. Downtime increased to 0.47 hrs from 0.16 hrs mainly due to feeder drum and cane carrier trippings caused by overload. Preventive maintenance performed on Mill No-1 top roller.</w:t>
            </w:r>
          </w:p>
        </w:tc>
        <w:tc>
          <w:tcPr>
            <w:tcMar>
              <w:top w:type="dxa" w:w="80"/>
              <w:left w:type="dxa" w:w="100"/>
              <w:bottom w:type="dxa" w:w="80"/>
              <w:right w:type="dxa" w:w="100"/>
            </w:tcMar>
          </w:tcPr>
          <w:p>
            <w:r>
              <w:t xml:space="preserve">Downtime increased; preventive maintenance ongoing.</w:t>
            </w:r>
          </w:p>
        </w:tc>
      </w:tr>
      <w:tr>
        <w:tc>
          <w:tcPr>
            <w:tcMar>
              <w:top w:type="dxa" w:w="80"/>
              <w:left w:type="dxa" w:w="100"/>
              <w:bottom w:type="dxa" w:w="80"/>
              <w:right w:type="dxa" w:w="100"/>
            </w:tcMar>
          </w:tcPr>
          <w:p>
            <w:r>
              <w:t xml:space="preserve">Cane</w:t>
            </w:r>
          </w:p>
        </w:tc>
        <w:tc>
          <w:tcPr>
            <w:tcMar>
              <w:top w:type="dxa" w:w="80"/>
              <w:left w:type="dxa" w:w="100"/>
              <w:bottom w:type="dxa" w:w="80"/>
              <w:right w:type="dxa" w:w="100"/>
            </w:tcMar>
          </w:tcPr>
          <w:p>
            <w:r>
              <w:t xml:space="preserve">Indent maturity at gate slipped to 93% from 99%, center maturity at 96% from 101%. Pol in cane increased to 12.92%. Focus on water logged areas and dead growers.</w:t>
            </w:r>
          </w:p>
        </w:tc>
        <w:tc>
          <w:tcPr>
            <w:tcMar>
              <w:top w:type="dxa" w:w="80"/>
              <w:left w:type="dxa" w:w="100"/>
              <w:bottom w:type="dxa" w:w="80"/>
              <w:right w:type="dxa" w:w="100"/>
            </w:tcMar>
          </w:tcPr>
          <w:p>
            <w:r>
              <w:t xml:space="preserve">Slight decrease in indent maturity; active actions on failure reasons.</w:t>
            </w:r>
          </w:p>
        </w:tc>
      </w:tr>
      <w:tr>
        <w:tc>
          <w:tcPr>
            <w:tcMar>
              <w:top w:type="dxa" w:w="80"/>
              <w:left w:type="dxa" w:w="100"/>
              <w:bottom w:type="dxa" w:w="80"/>
              <w:right w:type="dxa" w:w="100"/>
            </w:tcMar>
          </w:tcPr>
          <w:p>
            <w:r>
              <w:t xml:space="preserve">Production</w:t>
            </w:r>
          </w:p>
        </w:tc>
        <w:tc>
          <w:tcPr>
            <w:tcMar>
              <w:top w:type="dxa" w:w="80"/>
              <w:left w:type="dxa" w:w="100"/>
              <w:bottom w:type="dxa" w:w="80"/>
              <w:right w:type="dxa" w:w="100"/>
            </w:tcMar>
          </w:tcPr>
          <w:p>
            <w:r>
              <w:t xml:space="preserve">Sugar production slightly decreased to 0.64 LQ. Recovery steady, with stable quality parameters. Molasses losses increased slightly.</w:t>
            </w:r>
          </w:p>
        </w:tc>
        <w:tc>
          <w:tcPr>
            <w:tcMar>
              <w:top w:type="dxa" w:w="80"/>
              <w:left w:type="dxa" w:w="100"/>
              <w:bottom w:type="dxa" w:w="80"/>
              <w:right w:type="dxa" w:w="100"/>
            </w:tcMar>
          </w:tcPr>
          <w:p>
            <w:r>
              <w:t xml:space="preserve">Minimal changes; losses in molasses require monitoring.</w:t>
            </w:r>
          </w:p>
        </w:tc>
      </w:tr>
      <w:tr>
        <w:tc>
          <w:tcPr>
            <w:tcMar>
              <w:top w:type="dxa" w:w="80"/>
              <w:left w:type="dxa" w:w="100"/>
              <w:bottom w:type="dxa" w:w="80"/>
              <w:right w:type="dxa" w:w="100"/>
            </w:tcMar>
          </w:tcPr>
          <w:p>
            <w:r>
              <w:t xml:space="preserve">Power</w:t>
            </w:r>
          </w:p>
        </w:tc>
        <w:tc>
          <w:tcPr>
            <w:tcMar>
              <w:top w:type="dxa" w:w="80"/>
              <w:left w:type="dxa" w:w="100"/>
              <w:bottom w:type="dxa" w:w="80"/>
              <w:right w:type="dxa" w:w="100"/>
            </w:tcMar>
          </w:tcPr>
          <w:p>
            <w:r>
              <w:t xml:space="preserve">Power generation stable with marginal decrease. Export down to 38 LU from 39.03 LU. Aux consumption stable. Boiler utilizations high with PLF above targets.</w:t>
            </w:r>
          </w:p>
        </w:tc>
        <w:tc>
          <w:tcPr>
            <w:tcMar>
              <w:top w:type="dxa" w:w="80"/>
              <w:left w:type="dxa" w:w="100"/>
              <w:bottom w:type="dxa" w:w="80"/>
              <w:right w:type="dxa" w:w="100"/>
            </w:tcMar>
          </w:tcPr>
          <w:p>
            <w:r>
              <w:t xml:space="preserve">Stable generation with marginal export decline.</w:t>
            </w:r>
          </w:p>
        </w:tc>
      </w:tr>
      <w:tr>
        <w:tc>
          <w:tcPr>
            <w:tcMar>
              <w:top w:type="dxa" w:w="80"/>
              <w:left w:type="dxa" w:w="100"/>
              <w:bottom w:type="dxa" w:w="80"/>
              <w:right w:type="dxa" w:w="100"/>
            </w:tcMar>
          </w:tcPr>
          <w:p>
            <w:r>
              <w:t xml:space="preserve">Distillery</w:t>
            </w:r>
          </w:p>
        </w:tc>
        <w:tc>
          <w:tcPr>
            <w:tcMar>
              <w:top w:type="dxa" w:w="80"/>
              <w:left w:type="dxa" w:w="100"/>
              <w:bottom w:type="dxa" w:w="80"/>
              <w:right w:type="dxa" w:w="100"/>
            </w:tcMar>
          </w:tcPr>
          <w:p>
            <w:r>
              <w:t xml:space="preserve">Ethanol production improved to 8.33 LL with better fermentation efficiency. Zero downtime maintained. Feedstock quality consistent.</w:t>
            </w:r>
          </w:p>
        </w:tc>
        <w:tc>
          <w:tcPr>
            <w:tcMar>
              <w:top w:type="dxa" w:w="80"/>
              <w:left w:type="dxa" w:w="100"/>
              <w:bottom w:type="dxa" w:w="80"/>
              <w:right w:type="dxa" w:w="100"/>
            </w:tcMar>
          </w:tcPr>
          <w:p>
            <w:r>
              <w:t xml:space="preserve">Improved ethanol output and efficiency.</w:t>
            </w:r>
          </w:p>
        </w:tc>
      </w:tr>
      <w:tr>
        <w:tc>
          <w:tcPr>
            <w:tcMar>
              <w:top w:type="dxa" w:w="80"/>
              <w:left w:type="dxa" w:w="100"/>
              <w:bottom w:type="dxa" w:w="80"/>
              <w:right w:type="dxa" w:w="100"/>
            </w:tcMar>
          </w:tcPr>
          <w:p>
            <w:r>
              <w:t xml:space="preserve">Quality/EHS</w:t>
            </w:r>
          </w:p>
        </w:tc>
        <w:tc>
          <w:tcPr>
            <w:tcMar>
              <w:top w:type="dxa" w:w="80"/>
              <w:left w:type="dxa" w:w="100"/>
              <w:bottom w:type="dxa" w:w="80"/>
              <w:right w:type="dxa" w:w="100"/>
            </w:tcMar>
          </w:tcPr>
          <w:p>
            <w:r>
              <w:t xml:space="preserve">Total losses marginally increased primarily due to molasses. No accidents this week. Safety trainings ongoing.</w:t>
            </w:r>
          </w:p>
        </w:tc>
        <w:tc>
          <w:tcPr>
            <w:tcMar>
              <w:top w:type="dxa" w:w="80"/>
              <w:left w:type="dxa" w:w="100"/>
              <w:bottom w:type="dxa" w:w="80"/>
              <w:right w:type="dxa" w:w="100"/>
            </w:tcMar>
          </w:tcPr>
          <w:p>
            <w:r>
              <w:t xml:space="preserve">Losses up slightly; continuous EHS focus.</w:t>
            </w:r>
          </w:p>
        </w:tc>
      </w:tr>
      <w:tr>
        <w:tc>
          <w:tcPr>
            <w:tcMar>
              <w:top w:type="dxa" w:w="80"/>
              <w:left w:type="dxa" w:w="100"/>
              <w:bottom w:type="dxa" w:w="80"/>
              <w:right w:type="dxa" w:w="100"/>
            </w:tcMar>
          </w:tcPr>
          <w:p>
            <w:r>
              <w:t xml:space="preserve">Capex</w:t>
            </w:r>
          </w:p>
        </w:tc>
        <w:tc>
          <w:tcPr>
            <w:tcMar>
              <w:top w:type="dxa" w:w="80"/>
              <w:left w:type="dxa" w:w="100"/>
              <w:bottom w:type="dxa" w:w="80"/>
              <w:right w:type="dxa" w:w="100"/>
            </w:tcMar>
          </w:tcPr>
          <w:p>
            <w:r>
              <w:t xml:space="preserve">Mud Removal System progress at 60%. Refinery house projects ongoing. R3 boiling and curing arrangements completed.</w:t>
            </w:r>
          </w:p>
        </w:tc>
        <w:tc>
          <w:tcPr>
            <w:tcMar>
              <w:top w:type="dxa" w:w="80"/>
              <w:left w:type="dxa" w:w="100"/>
              <w:bottom w:type="dxa" w:w="80"/>
              <w:right w:type="dxa" w:w="100"/>
            </w:tcMar>
          </w:tcPr>
          <w:p>
            <w:r>
              <w:t xml:space="preserve">Progress on capex continuing as planned.</w:t>
            </w:r>
          </w:p>
        </w:tc>
      </w:tr>
      <w:tr>
        <w:tc>
          <w:tcPr>
            <w:tcMar>
              <w:top w:type="dxa" w:w="80"/>
              <w:left w:type="dxa" w:w="100"/>
              <w:bottom w:type="dxa" w:w="80"/>
              <w:right w:type="dxa" w:w="100"/>
            </w:tcMar>
          </w:tcPr>
          <w:p>
            <w:r>
              <w:t xml:space="preserve">Risks &amp; Watch-outs</w:t>
            </w:r>
          </w:p>
        </w:tc>
        <w:tc>
          <w:tcPr>
            <w:tcMar>
              <w:top w:type="dxa" w:w="80"/>
              <w:left w:type="dxa" w:w="100"/>
              <w:bottom w:type="dxa" w:w="80"/>
              <w:right w:type="dxa" w:w="100"/>
            </w:tcMar>
          </w:tcPr>
          <w:p>
            <w:r>
              <w:t xml:space="preserve">Indent failures due to KCC loans and dead growers persist. High downtime at certain loader centers due to clutch failure and engine seizure. Monitor molasses losses and overload induced stoppages.</w:t>
            </w:r>
          </w:p>
        </w:tc>
        <w:tc>
          <w:tcPr>
            <w:tcMar>
              <w:top w:type="dxa" w:w="80"/>
              <w:left w:type="dxa" w:w="100"/>
              <w:bottom w:type="dxa" w:w="80"/>
              <w:right w:type="dxa" w:w="100"/>
            </w:tcMar>
          </w:tcPr>
          <w:p>
            <w:r>
              <w:t xml:space="preserve">Maintain vigilance on indent failures and engineering maintenance.</w:t>
            </w:r>
          </w:p>
        </w:tc>
      </w:tr>
    </w:tbl>
    <w:p>
      <w:pPr>
        <w:spacing w:after="300"/>
      </w:pPr>
    </w:p>
    <w:p>
      <w:pPr>
        <w:jc w:val="center"/>
      </w:pPr>
      <w:r>
        <w:rPr>
          <w:color w:val="888888"/>
          <w:sz w:val="18"/>
          <w:szCs w:val="18"/>
        </w:rPr>
        <w:t xml:space="preserve">This review is based exclusively on numbers and narratives disclosed in the weekly PDF slides.</w:t>
      </w:r>
    </w:p>
    <w:p>
      <w:pPr>
        <w:spacing w:before="100"/>
        <w:jc w:val="center"/>
      </w:pPr>
      <w:r>
        <w:rPr>
          <w:color w:val="AAAAAA"/>
          <w:sz w:val="16"/>
          <w:szCs w:val="16"/>
        </w:rPr>
        <w:t xml:space="preserve">Note: This report is AI-generated and may not be fully accurate. Please review and validate the information before relying on it for decision-making.</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2026-02-05T12:27:48.432Z</dcterms:created>
  <dcterms:modified xsi:type="dcterms:W3CDTF">2026-02-05T12:27:48.432Z</dcterms:modified>
</cp:coreProperties>
</file>

<file path=docProps/custom.xml><?xml version="1.0" encoding="utf-8"?>
<Properties xmlns="http://schemas.openxmlformats.org/officeDocument/2006/custom-properties" xmlns:vt="http://schemas.openxmlformats.org/officeDocument/2006/docPropsVTypes"/>
</file>