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6"/>
          <w:szCs w:val="36"/>
        </w:rPr>
        <w:t xml:space="preserve">WEEKLY LEADERSHIP REVIEW</w:t>
      </w:r>
    </w:p>
    <w:p>
      <w:pPr>
        <w:jc w:val="center"/>
      </w:pPr>
      <w:r>
        <w:rPr>
          <w:color w:val="444444"/>
          <w:sz w:val="28"/>
          <w:szCs w:val="28"/>
        </w:rPr>
        <w:t xml:space="preserve">Gobind Sugar Mill, Aira</w:t>
      </w:r>
    </w:p>
    <w:p>
      <w:pPr>
        <w:jc w:val="center"/>
      </w:pPr>
      <w:r>
        <w:rPr>
          <w:color w:val="666666"/>
          <w:sz w:val="20"/>
          <w:szCs w:val="20"/>
        </w:rPr>
        <w:t xml:space="preserve">Week: 31 Oct 2025 vs Previous Week (27 Dec 2025)</w:t>
      </w:r>
    </w:p>
    <w:p>
      <w:pPr>
        <w:jc w:val="center"/>
      </w:pPr>
      <w:r>
        <w:rPr>
          <w:color w:val="666666"/>
          <w:sz w:val="20"/>
          <w:szCs w:val="20"/>
        </w:rPr>
        <w:t xml:space="preserve">Season Day: 6</w:t>
      </w:r>
    </w:p>
    <w:p>
      <w:pPr>
        <w:spacing w:after="300"/>
      </w:pPr>
    </w:p>
    <w:p>
      <w:pPr>
        <w:pBdr>
          <w:bottom w:val="single" w:color="1F4E78" w:sz="6" w:space="1"/>
        </w:pBdr>
      </w:pPr>
      <w:r>
        <w:rPr>
          <w:b/>
          <w:bCs/>
          <w:color w:val="1F4E78"/>
          <w:sz w:val="26"/>
          <w:szCs w:val="26"/>
        </w:rPr>
        <w:t xml:space="preserve">PART 1 – INSIGHT NARRATIVE</w:t>
      </w:r>
    </w:p>
    <w:p>
      <w:pPr>
        <w:spacing w:after="150"/>
      </w:pPr>
    </w:p>
    <w:p>
      <w:r>
        <w:rPr>
          <w:b/>
          <w:bCs/>
          <w:color w:val="2E75B5"/>
          <w:sz w:val="24"/>
          <w:szCs w:val="24"/>
        </w:rPr>
        <w:t xml:space="preserve">1. Executive Summary (Key Insights)</w:t>
      </w:r>
    </w:p>
    <w:p>
      <w:pPr>
        <w:pStyle w:val="ListParagraph"/>
        <w:numPr>
          <w:ilvl w:val="0"/>
          <w:numId w:val="1"/>
        </w:numPr>
        <w:spacing w:before="100"/>
      </w:pPr>
      <w:r>
        <w:rPr>
          <w:b/>
          <w:bCs/>
          <w:sz w:val="22"/>
          <w:szCs w:val="22"/>
        </w:rPr>
        <w:t xml:space="preserve">CRUSHING PERFORMANCE: </w:t>
      </w:r>
      <w:r>
        <w:rPr>
          <w:sz w:val="22"/>
          <w:szCs w:val="22"/>
        </w:rPr>
        <w:t xml:space="preserve">Total sugarcane crush at 4.25 LQ, no change from last week, crush rate including stoppage 70,900 Qtls/day vs 100,225 Qtls/day in Dec week (later week). Highest shift crush at 38,129 Qtls achieved in Dec week. Capacity utilization at 70.90% vs 107.29% in Dec week.</w:t>
      </w:r>
    </w:p>
    <w:p>
      <w:pPr>
        <w:pStyle w:val="ListParagraph"/>
        <w:numPr>
          <w:ilvl w:val="0"/>
          <w:numId w:val="1"/>
        </w:numPr>
        <w:spacing w:before="100"/>
      </w:pPr>
      <w:r>
        <w:rPr>
          <w:b/>
          <w:bCs/>
          <w:sz w:val="22"/>
          <w:szCs w:val="22"/>
        </w:rPr>
        <w:t xml:space="preserve">RECOVERY: </w:t>
      </w:r>
      <w:r>
        <w:rPr>
          <w:sz w:val="22"/>
          <w:szCs w:val="22"/>
        </w:rPr>
        <w:t xml:space="preserve">Sugar recovery at 9.00% stable vs last week, lower than 10.43% in Dec week. Pol in cane at 10.89% vs 13.01% later. Mill Extraction (ME) at 94.94% and Reduced Mill Extraction (RME) at 95.16% in Oct vs 95.90% ME, 96.15% RME at end Dec.</w:t>
      </w:r>
    </w:p>
    <w:p>
      <w:pPr>
        <w:pStyle w:val="ListParagraph"/>
        <w:numPr>
          <w:ilvl w:val="0"/>
          <w:numId w:val="1"/>
        </w:numPr>
        <w:spacing w:before="100"/>
      </w:pPr>
      <w:r>
        <w:rPr>
          <w:b/>
          <w:bCs/>
          <w:sz w:val="22"/>
          <w:szCs w:val="22"/>
        </w:rPr>
        <w:t xml:space="preserve">LOSSES: </w:t>
      </w:r>
      <w:r>
        <w:rPr>
          <w:sz w:val="22"/>
          <w:szCs w:val="22"/>
        </w:rPr>
        <w:t xml:space="preserve">Total pol losses at 1.88% stable from last week, lower than 2.52% in Dec week. Loss distribution steady with pol in bagasse 0.55%, filter cake 0.08%, final molasses 1.08% and unknowns 0.17%.</w:t>
      </w:r>
    </w:p>
    <w:p>
      <w:pPr>
        <w:pStyle w:val="ListParagraph"/>
        <w:numPr>
          <w:ilvl w:val="0"/>
          <w:numId w:val="1"/>
        </w:numPr>
        <w:spacing w:before="100"/>
      </w:pPr>
      <w:r>
        <w:rPr>
          <w:b/>
          <w:bCs/>
          <w:sz w:val="22"/>
          <w:szCs w:val="22"/>
        </w:rPr>
        <w:t xml:space="preserve">POWER: </w:t>
      </w:r>
      <w:r>
        <w:rPr>
          <w:sz w:val="22"/>
          <w:szCs w:val="22"/>
        </w:rPr>
        <w:t xml:space="preserve">Power generation at 44.69 LU vs 64.71 LU in Dec. Power export at 29.80 LU vs 36.92 LU Dec. Power Plant PLF for 30.85 MW turbine at 95.16% vs 96.69%. Power consumption per ton cane at 32.61 KW/h in Oct vs 11.62 units/Qtl sugar in Dec week.</w:t>
      </w:r>
    </w:p>
    <w:p>
      <w:pPr>
        <w:pStyle w:val="ListParagraph"/>
        <w:numPr>
          <w:ilvl w:val="0"/>
          <w:numId w:val="1"/>
        </w:numPr>
        <w:spacing w:before="100"/>
      </w:pPr>
      <w:r>
        <w:rPr>
          <w:b/>
          <w:bCs/>
          <w:sz w:val="22"/>
          <w:szCs w:val="22"/>
        </w:rPr>
        <w:t xml:space="preserve">DISTILLERY: </w:t>
      </w:r>
      <w:r>
        <w:rPr>
          <w:sz w:val="22"/>
          <w:szCs w:val="22"/>
        </w:rPr>
        <w:t xml:space="preserve">Ethanol production at 1.86 LL daily avg in current week, with total 9.60 LL till date vs 8.42 LL daily avg and 31.54 LL till date in Dec. Distillery PUF at 100.72% vs 96.20% in Dec. Ethanol recovery on syrup at 5.97 BL/Qtl and fermentation efficiency 91.03% vs 29.74 BL/Qtl and 91.17% respectively in Dec.</w:t>
      </w:r>
    </w:p>
    <w:p>
      <w:pPr>
        <w:pStyle w:val="ListParagraph"/>
        <w:numPr>
          <w:ilvl w:val="0"/>
          <w:numId w:val="1"/>
        </w:numPr>
        <w:spacing w:before="100"/>
      </w:pPr>
      <w:r>
        <w:rPr>
          <w:b/>
          <w:bCs/>
          <w:sz w:val="22"/>
          <w:szCs w:val="22"/>
        </w:rPr>
        <w:t xml:space="preserve">SUGAR QUALITY: </w:t>
      </w:r>
      <w:r>
        <w:rPr>
          <w:sz w:val="22"/>
          <w:szCs w:val="22"/>
        </w:rPr>
        <w:t xml:space="preserve">No quality data explicitly reported for Oct week. Pol in filter cake at 2.21% vs Dec week same level. Steam % cane at 38.41% vs 39.49% in Dec. No ICUMSA quality numbers available for Oct week.</w:t>
      </w:r>
    </w:p>
    <w:p>
      <w:pPr>
        <w:pStyle w:val="ListParagraph"/>
        <w:numPr>
          <w:ilvl w:val="0"/>
          <w:numId w:val="1"/>
        </w:numPr>
        <w:spacing w:before="100"/>
      </w:pPr>
      <w:r>
        <w:rPr>
          <w:b/>
          <w:bCs/>
          <w:sz w:val="22"/>
          <w:szCs w:val="22"/>
        </w:rPr>
        <w:t xml:space="preserve">CAPEX / PROJECTS: </w:t>
      </w:r>
      <w:r>
        <w:rPr>
          <w:sz w:val="22"/>
          <w:szCs w:val="22"/>
        </w:rPr>
        <w:t xml:space="preserve">Multiple Capex projects ongoing. Mill Roller Shaft new replacement in progress, Drawing sent for machining; Cane Unloaders conversion deferred; Rotary Screen installed &amp; in operation. Mud Removal System civil work in progress with tank installation approx 30% complete.</w:t>
      </w:r>
    </w:p>
    <w:p>
      <w:pPr>
        <w:pStyle w:val="ListParagraph"/>
        <w:numPr>
          <w:ilvl w:val="0"/>
          <w:numId w:val="1"/>
        </w:numPr>
        <w:spacing w:before="100"/>
      </w:pPr>
      <w:r>
        <w:rPr>
          <w:b/>
          <w:bCs/>
          <w:sz w:val="22"/>
          <w:szCs w:val="22"/>
        </w:rPr>
        <w:t xml:space="preserve">EHS &amp; SAFETY: </w:t>
      </w:r>
      <w:r>
        <w:rPr>
          <w:sz w:val="22"/>
          <w:szCs w:val="22"/>
        </w:rPr>
        <w:t xml:space="preserve">Multiple near miss and hazard observations reported in Distillery for PPE usage and housekeeping. All observed issues closed promptly with assigned responsibles. No fatal incidents reported.</w:t>
      </w:r>
    </w:p>
    <w:p>
      <w:pPr>
        <w:spacing w:after="150"/>
      </w:pPr>
    </w:p>
    <w:p>
      <w:pPr>
        <w:spacing w:before="200" w:after="100"/>
      </w:pPr>
      <w:r>
        <w:rPr>
          <w:b/>
          <w:bCs/>
          <w:color w:val="2E75B5"/>
          <w:sz w:val="22"/>
          <w:szCs w:val="22"/>
        </w:rPr>
        <w:t xml:space="preserve">2. Overall Performance</w:t>
      </w:r>
    </w:p>
    <w:p>
      <w:pPr>
        <w:spacing w:after="100"/>
      </w:pPr>
      <w:r>
        <w:t xml:space="preserve">Plant operations started successfully from 25 Oct 2025 with crushing at 4.25 LQ for the week. Plant operational parameters within limits. Initial crushing and distillery startups progressing. Power plant and boiler running with safety valve settings completed. No major downtime except 3 hrs for boiler repair in distillery power plant. Indent maturity improving yet to reach optimal levels.</w:t>
      </w:r>
    </w:p>
    <w:p>
      <w:pPr>
        <w:spacing w:before="200" w:after="100"/>
      </w:pPr>
      <w:r>
        <w:rPr>
          <w:b/>
          <w:bCs/>
          <w:color w:val="2E75B5"/>
          <w:sz w:val="22"/>
          <w:szCs w:val="22"/>
        </w:rPr>
        <w:t xml:space="preserve">3. Benchmark &amp; Comparative Position</w:t>
      </w:r>
    </w:p>
    <w:p>
      <w:pPr>
        <w:spacing w:after="100"/>
      </w:pPr>
      <w:r>
        <w:t xml:space="preserve">Sugar recovery for current week 9.00% below target 11.53% and historical Dec week 10.43%. Power generation and export below Dec week. Ethanol recovery and production ramping up from month start. Total losses at 1.88% lower than Dec week's marginally increased 2.52%. Capacity utilization at 70.90% vs Dec week's 107.29%.</w:t>
      </w:r>
    </w:p>
    <w:p>
      <w:pPr>
        <w:spacing w:before="200" w:after="100"/>
      </w:pPr>
      <w:r>
        <w:rPr>
          <w:b/>
          <w:bCs/>
          <w:color w:val="2E75B5"/>
          <w:sz w:val="22"/>
          <w:szCs w:val="22"/>
        </w:rPr>
        <w:t xml:space="preserve">4. Cane Planning &amp; Control</w:t>
      </w:r>
    </w:p>
    <w:p>
      <w:pPr>
        <w:spacing w:after="100"/>
      </w:pPr>
      <w:r>
        <w:t xml:space="preserve">Daily indent rate at 1.56 LQ, daily cane purchase 0.43 LQ with gate indent maturity 50% improving from 0% last week, center indent maturity 65%. Pol in cane at 10.89%. Actions ongoing for purchase failures with 14,802 failed at center and 7,536 at gate contacted. Vehicle holding times vary widely, with some centers showing delays due to truck issues or disputes.</w:t>
      </w:r>
    </w:p>
    <w:p>
      <w:pPr>
        <w:spacing w:before="200" w:after="100"/>
      </w:pPr>
      <w:r>
        <w:rPr>
          <w:b/>
          <w:bCs/>
          <w:color w:val="2E75B5"/>
          <w:sz w:val="22"/>
          <w:szCs w:val="22"/>
        </w:rPr>
        <w:t xml:space="preserve">5. Engineering &amp; Milling Performance</w:t>
      </w:r>
    </w:p>
    <w:p>
      <w:pPr>
        <w:spacing w:after="100"/>
      </w:pPr>
      <w:r>
        <w:t xml:space="preserve">Crushing recorded 4.254 LQ for the week. Hours utilized at 98.68% with downtime 1.54 hrs. Mill extraction close to target with ME at 94.94%, RME at 95.16%. Pol % bagasse and moisture % bagasse higher than target ranges. Stoppages due to overload and bagasse jamming noted. Shredder vibration and power data reported. Several Capex projects for mill, boiling house, electricals, instrumentation ongoing with several receiving materials and part installations completed.</w:t>
      </w:r>
    </w:p>
    <w:p>
      <w:pPr>
        <w:spacing w:before="200" w:after="100"/>
      </w:pPr>
      <w:r>
        <w:rPr>
          <w:b/>
          <w:bCs/>
          <w:color w:val="2E75B5"/>
          <w:sz w:val="22"/>
          <w:szCs w:val="22"/>
        </w:rPr>
        <w:t xml:space="preserve">6. Production Performance</w:t>
      </w:r>
    </w:p>
    <w:p>
      <w:pPr>
        <w:spacing w:after="100"/>
      </w:pPr>
      <w:r>
        <w:t xml:space="preserve">Sugar production at 0.12 LQ weekly stable from last week. Sugar bagging RS at 9,640 Qtls and DS 2,440 Qtls. Recovery stable at 9.00%. Quality parameters including pol in filter cake and molasses losses steady. Steam consumption above target at 846 Kg/Qtl sugar.</w:t>
      </w:r>
    </w:p>
    <w:p>
      <w:pPr>
        <w:spacing w:before="200" w:after="100"/>
      </w:pPr>
      <w:r>
        <w:rPr>
          <w:b/>
          <w:bCs/>
          <w:color w:val="2E75B5"/>
          <w:sz w:val="22"/>
          <w:szCs w:val="22"/>
        </w:rPr>
        <w:t xml:space="preserve">7. Power Plant Performance</w:t>
      </w:r>
    </w:p>
    <w:p>
      <w:pPr>
        <w:spacing w:after="100"/>
      </w:pPr>
      <w:r>
        <w:t xml:space="preserve">Power generation active at 44.69 LU, export 29.80 LU. Boiler capacity utilization strong for 150 TPH at 151.7%, 70 TPH 51.0%, and 35 TPH at 28.4%. Turbine PLF 95.16% for 30.85 MW. Steam to fuel ratios close to target with slight variation. Power consumption per ton cane at 32.61 KW higher than target of 31.54 KW.</w:t>
      </w:r>
    </w:p>
    <w:p>
      <w:pPr>
        <w:spacing w:before="200" w:after="100"/>
      </w:pPr>
      <w:r>
        <w:rPr>
          <w:b/>
          <w:bCs/>
          <w:color w:val="2E75B5"/>
          <w:sz w:val="22"/>
          <w:szCs w:val="22"/>
        </w:rPr>
        <w:t xml:space="preserve">8. Distillery Performance</w:t>
      </w:r>
    </w:p>
    <w:p>
      <w:pPr>
        <w:spacing w:after="100"/>
      </w:pPr>
      <w:r>
        <w:t xml:space="preserve">Distillery production started on 30 Oct with 1.86 LL production this week. Downtime recorded high at 132.50 hrs but zero in last snapshot. Ethanol recovery and fermentation efficiencies slightly improving. Steam and power consumption trending close to targets.</w:t>
      </w:r>
    </w:p>
    <w:p>
      <w:pPr>
        <w:spacing w:before="200" w:after="100"/>
      </w:pPr>
      <w:r>
        <w:rPr>
          <w:b/>
          <w:bCs/>
          <w:color w:val="2E75B5"/>
          <w:sz w:val="22"/>
          <w:szCs w:val="22"/>
        </w:rPr>
        <w:t xml:space="preserve">9. Quality Control &amp; EHS</w:t>
      </w:r>
    </w:p>
    <w:p>
      <w:pPr>
        <w:spacing w:after="100"/>
      </w:pPr>
      <w:r>
        <w:t xml:space="preserve">Pol in cane stable at 10.88%. Total losses at 1.88%. Bagasse pol and moisture above target. Quality audits ongoing with documented improvements. EHS hazards observations closed timely with supervisor actions. Near misses reported with no injuries.</w:t>
      </w:r>
    </w:p>
    <w:p>
      <w:pPr>
        <w:spacing w:after="150"/>
      </w:pPr>
    </w:p>
    <w:p>
      <w:r>
        <w:rPr>
          <w:b/>
          <w:bCs/>
          <w:color w:val="C00000"/>
          <w:sz w:val="24"/>
          <w:szCs w:val="24"/>
        </w:rPr>
        <w:t xml:space="preserve">Risks &amp; Watch-outs for the Coming Week</w:t>
      </w:r>
    </w:p>
    <w:p>
      <w:pPr>
        <w:pStyle w:val="ListParagraph"/>
        <w:numPr>
          <w:ilvl w:val="0"/>
          <w:numId w:val="1"/>
        </w:numPr>
        <w:spacing w:before="80"/>
      </w:pPr>
      <w:r>
        <w:t xml:space="preserve">Low indent maturity and cane purchase rate may impact crushing ramp-up.</w:t>
      </w:r>
    </w:p>
    <w:p>
      <w:pPr>
        <w:pStyle w:val="ListParagraph"/>
        <w:numPr>
          <w:ilvl w:val="0"/>
          <w:numId w:val="1"/>
        </w:numPr>
        <w:spacing w:before="80"/>
      </w:pPr>
      <w:r>
        <w:t xml:space="preserve">Higher pol % in bagasse and moisture may impact mill extraction efficiency.</w:t>
      </w:r>
    </w:p>
    <w:p>
      <w:pPr>
        <w:pStyle w:val="ListParagraph"/>
        <w:numPr>
          <w:ilvl w:val="0"/>
          <w:numId w:val="1"/>
        </w:numPr>
        <w:spacing w:before="80"/>
      </w:pPr>
      <w:r>
        <w:t xml:space="preserve">Boiler and turbine outages noted but repaired timely, risk of stoppage persists.</w:t>
      </w:r>
    </w:p>
    <w:p>
      <w:pPr>
        <w:pStyle w:val="ListParagraph"/>
        <w:numPr>
          <w:ilvl w:val="0"/>
          <w:numId w:val="1"/>
        </w:numPr>
        <w:spacing w:before="80"/>
      </w:pPr>
      <w:r>
        <w:t xml:space="preserve">Transporter and vehicle holding times delays affect cane supply chain.</w:t>
      </w:r>
    </w:p>
    <w:p>
      <w:pPr>
        <w:pStyle w:val="ListParagraph"/>
        <w:numPr>
          <w:ilvl w:val="0"/>
          <w:numId w:val="1"/>
        </w:numPr>
        <w:spacing w:before="80"/>
      </w:pPr>
      <w:r>
        <w:t xml:space="preserve">Distillery downtime high, monitoring needed for plant reliability.</w:t>
      </w:r>
    </w:p>
    <w:p>
      <w:pPr>
        <w:spacing w:after="300"/>
      </w:pPr>
    </w:p>
    <w:p>
      <w:r>
        <w:rPr>
          <w:b/>
          <w:bCs/>
          <w:color w:val="006666"/>
          <w:sz w:val="24"/>
          <w:szCs w:val="24"/>
        </w:rPr>
        <w:t xml:space="preserve">TABLE A – Quantitative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KPI</w:t>
            </w:r>
          </w:p>
        </w:tc>
        <w:tc>
          <w:tcPr>
            <w:shd w:fill="006666" w:color="auto" w:val="clear"/>
            <w:tcMar>
              <w:top w:type="dxa" w:w="100"/>
              <w:left w:type="dxa" w:w="100"/>
              <w:bottom w:type="dxa" w:w="100"/>
              <w:right w:type="dxa" w:w="100"/>
            </w:tcMar>
          </w:tcPr>
          <w:p>
            <w:pPr>
              <w:jc w:val="center"/>
            </w:pPr>
            <w:r>
              <w:rPr>
                <w:b/>
                <w:bCs/>
                <w:color w:val="FFFFFF"/>
              </w:rPr>
              <w:t xml:space="preserve">Current Week</w:t>
            </w:r>
          </w:p>
        </w:tc>
        <w:tc>
          <w:tcPr>
            <w:shd w:fill="006666" w:color="auto" w:val="clear"/>
            <w:tcMar>
              <w:top w:type="dxa" w:w="100"/>
              <w:left w:type="dxa" w:w="100"/>
              <w:bottom w:type="dxa" w:w="100"/>
              <w:right w:type="dxa" w:w="100"/>
            </w:tcMar>
          </w:tcPr>
          <w:p>
            <w:pPr>
              <w:jc w:val="center"/>
            </w:pPr>
            <w:r>
              <w:rPr>
                <w:b/>
                <w:bCs/>
                <w:color w:val="FFFFFF"/>
              </w:rPr>
              <w:t xml:space="preserve">Last Week</w:t>
            </w:r>
          </w:p>
        </w:tc>
        <w:tc>
          <w:tcPr>
            <w:shd w:fill="006666" w:color="auto" w:val="clear"/>
            <w:tcMar>
              <w:top w:type="dxa" w:w="100"/>
              <w:left w:type="dxa" w:w="100"/>
              <w:bottom w:type="dxa" w:w="100"/>
              <w:right w:type="dxa" w:w="100"/>
            </w:tcMar>
          </w:tcPr>
          <w:p>
            <w:pPr>
              <w:jc w:val="center"/>
            </w:pPr>
            <w:r>
              <w:rPr>
                <w:b/>
                <w:bCs/>
                <w:color w:val="FFFFFF"/>
              </w:rPr>
              <w:t xml:space="preserve">Till Date</w:t>
            </w:r>
          </w:p>
        </w:tc>
        <w:tc>
          <w:tcPr>
            <w:shd w:fill="006666" w:color="auto" w:val="clear"/>
            <w:tcMar>
              <w:top w:type="dxa" w:w="100"/>
              <w:left w:type="dxa" w:w="100"/>
              <w:bottom w:type="dxa" w:w="100"/>
              <w:right w:type="dxa" w:w="100"/>
            </w:tcMar>
          </w:tcPr>
          <w:p>
            <w:pPr>
              <w:jc w:val="center"/>
            </w:pPr>
            <w:r>
              <w:rPr>
                <w:b/>
                <w:bCs/>
                <w:color w:val="FFFFFF"/>
              </w:rPr>
              <w:t xml:space="preserve">WoW Change</w:t>
            </w:r>
          </w:p>
        </w:tc>
      </w:tr>
      <w:tr>
        <w:tc>
          <w:tcPr>
            <w:tcMar>
              <w:top w:type="dxa" w:w="80"/>
              <w:left w:type="dxa" w:w="100"/>
              <w:bottom w:type="dxa" w:w="80"/>
              <w:right w:type="dxa" w:w="100"/>
            </w:tcMar>
          </w:tcPr>
          <w:p>
            <w:r>
              <w:t xml:space="preserve">Cane Crushed (LQ)</w:t>
            </w:r>
          </w:p>
        </w:tc>
        <w:tc>
          <w:tcPr>
            <w:tcMar>
              <w:top w:type="dxa" w:w="80"/>
              <w:left w:type="dxa" w:w="100"/>
              <w:bottom w:type="dxa" w:w="80"/>
              <w:right w:type="dxa" w:w="100"/>
            </w:tcMar>
          </w:tcPr>
          <w:p>
            <w:r>
              <w:t xml:space="preserve">4.25</w:t>
            </w:r>
          </w:p>
        </w:tc>
        <w:tc>
          <w:tcPr>
            <w:tcMar>
              <w:top w:type="dxa" w:w="80"/>
              <w:left w:type="dxa" w:w="100"/>
              <w:bottom w:type="dxa" w:w="80"/>
              <w:right w:type="dxa" w:w="100"/>
            </w:tcMar>
          </w:tcPr>
          <w:p>
            <w:r>
              <w:t xml:space="preserve">4.25</w:t>
            </w:r>
          </w:p>
        </w:tc>
        <w:tc>
          <w:tcPr>
            <w:tcMar>
              <w:top w:type="dxa" w:w="80"/>
              <w:left w:type="dxa" w:w="100"/>
              <w:bottom w:type="dxa" w:w="80"/>
              <w:right w:type="dxa" w:w="100"/>
            </w:tcMar>
          </w:tcPr>
          <w:p>
            <w:r>
              <w:t xml:space="preserve">425.4</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Sugar Recovery (%)</w:t>
            </w:r>
          </w:p>
        </w:tc>
        <w:tc>
          <w:tcPr>
            <w:tcMar>
              <w:top w:type="dxa" w:w="80"/>
              <w:left w:type="dxa" w:w="100"/>
              <w:bottom w:type="dxa" w:w="80"/>
              <w:right w:type="dxa" w:w="100"/>
            </w:tcMar>
          </w:tcPr>
          <w:p>
            <w:r>
              <w:t xml:space="preserve">9.00%</w:t>
            </w:r>
          </w:p>
        </w:tc>
        <w:tc>
          <w:tcPr>
            <w:tcMar>
              <w:top w:type="dxa" w:w="80"/>
              <w:left w:type="dxa" w:w="100"/>
              <w:bottom w:type="dxa" w:w="80"/>
              <w:right w:type="dxa" w:w="100"/>
            </w:tcMar>
          </w:tcPr>
          <w:p>
            <w:r>
              <w:t xml:space="preserve">9.00%</w:t>
            </w:r>
          </w:p>
        </w:tc>
        <w:tc>
          <w:tcPr>
            <w:tcMar>
              <w:top w:type="dxa" w:w="80"/>
              <w:left w:type="dxa" w:w="100"/>
              <w:bottom w:type="dxa" w:w="80"/>
              <w:right w:type="dxa" w:w="100"/>
            </w:tcMar>
          </w:tcPr>
          <w:p>
            <w:r>
              <w:t xml:space="preserve">No material change vs last week.</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Sugar Produced (LQ)</w:t>
            </w:r>
          </w:p>
        </w:tc>
        <w:tc>
          <w:tcPr>
            <w:tcMar>
              <w:top w:type="dxa" w:w="80"/>
              <w:left w:type="dxa" w:w="100"/>
              <w:bottom w:type="dxa" w:w="80"/>
              <w:right w:type="dxa" w:w="100"/>
            </w:tcMar>
          </w:tcPr>
          <w:p>
            <w:r>
              <w:t xml:space="preserve">0.12</w:t>
            </w:r>
          </w:p>
        </w:tc>
        <w:tc>
          <w:tcPr>
            <w:tcMar>
              <w:top w:type="dxa" w:w="80"/>
              <w:left w:type="dxa" w:w="100"/>
              <w:bottom w:type="dxa" w:w="80"/>
              <w:right w:type="dxa" w:w="100"/>
            </w:tcMar>
          </w:tcPr>
          <w:p>
            <w:r>
              <w:t xml:space="preserve">0.12</w:t>
            </w:r>
          </w:p>
        </w:tc>
        <w:tc>
          <w:tcPr>
            <w:tcMar>
              <w:top w:type="dxa" w:w="80"/>
              <w:left w:type="dxa" w:w="100"/>
              <w:bottom w:type="dxa" w:w="80"/>
              <w:right w:type="dxa" w:w="100"/>
            </w:tcMar>
          </w:tcPr>
          <w:p>
            <w:r>
              <w:t xml:space="preserve">No material change vs last week.</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Capacity Utilization (%)</w:t>
            </w:r>
          </w:p>
        </w:tc>
        <w:tc>
          <w:tcPr>
            <w:tcMar>
              <w:top w:type="dxa" w:w="80"/>
              <w:left w:type="dxa" w:w="100"/>
              <w:bottom w:type="dxa" w:w="80"/>
              <w:right w:type="dxa" w:w="100"/>
            </w:tcMar>
          </w:tcPr>
          <w:p>
            <w:r>
              <w:t xml:space="preserve">70.90%</w:t>
            </w:r>
          </w:p>
        </w:tc>
        <w:tc>
          <w:tcPr>
            <w:tcMar>
              <w:top w:type="dxa" w:w="80"/>
              <w:left w:type="dxa" w:w="100"/>
              <w:bottom w:type="dxa" w:w="80"/>
              <w:right w:type="dxa" w:w="100"/>
            </w:tcMar>
          </w:tcPr>
          <w:p>
            <w:r>
              <w:t xml:space="preserve">70.90%</w:t>
            </w:r>
          </w:p>
        </w:tc>
        <w:tc>
          <w:tcPr>
            <w:tcMar>
              <w:top w:type="dxa" w:w="80"/>
              <w:left w:type="dxa" w:w="100"/>
              <w:bottom w:type="dxa" w:w="80"/>
              <w:right w:type="dxa" w:w="100"/>
            </w:tcMar>
          </w:tcPr>
          <w:p>
            <w:r>
              <w:t xml:space="preserve">No material change vs last week.</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Total Losses (%)</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No material change vs last week.</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Pol % Bagasse</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No material change vs last week.</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DS ICUMSA (M-sugar)</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r>
      <w:tr>
        <w:tc>
          <w:tcPr>
            <w:tcMar>
              <w:top w:type="dxa" w:w="80"/>
              <w:left w:type="dxa" w:w="100"/>
              <w:bottom w:type="dxa" w:w="80"/>
              <w:right w:type="dxa" w:w="100"/>
            </w:tcMar>
          </w:tcPr>
          <w:p>
            <w:r>
              <w:t xml:space="preserve">Power Generation (LU)</w:t>
            </w:r>
          </w:p>
        </w:tc>
        <w:tc>
          <w:tcPr>
            <w:tcMar>
              <w:top w:type="dxa" w:w="80"/>
              <w:left w:type="dxa" w:w="100"/>
              <w:bottom w:type="dxa" w:w="80"/>
              <w:right w:type="dxa" w:w="100"/>
            </w:tcMar>
          </w:tcPr>
          <w:p>
            <w:r>
              <w:t xml:space="preserve">44.69</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r>
      <w:tr>
        <w:tc>
          <w:tcPr>
            <w:tcMar>
              <w:top w:type="dxa" w:w="80"/>
              <w:left w:type="dxa" w:w="100"/>
              <w:bottom w:type="dxa" w:w="80"/>
              <w:right w:type="dxa" w:w="100"/>
            </w:tcMar>
          </w:tcPr>
          <w:p>
            <w:r>
              <w:t xml:space="preserve">Power Export (LU)</w:t>
            </w:r>
          </w:p>
        </w:tc>
        <w:tc>
          <w:tcPr>
            <w:tcMar>
              <w:top w:type="dxa" w:w="80"/>
              <w:left w:type="dxa" w:w="100"/>
              <w:bottom w:type="dxa" w:w="80"/>
              <w:right w:type="dxa" w:w="100"/>
            </w:tcMar>
          </w:tcPr>
          <w:p>
            <w:r>
              <w:t xml:space="preserve">29.80</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r>
      <w:tr>
        <w:tc>
          <w:tcPr>
            <w:tcMar>
              <w:top w:type="dxa" w:w="80"/>
              <w:left w:type="dxa" w:w="100"/>
              <w:bottom w:type="dxa" w:w="80"/>
              <w:right w:type="dxa" w:w="100"/>
            </w:tcMar>
          </w:tcPr>
          <w:p>
            <w:r>
              <w:t xml:space="preserve">Power PLF - 30.85 MW (%)</w:t>
            </w:r>
          </w:p>
        </w:tc>
        <w:tc>
          <w:tcPr>
            <w:tcMar>
              <w:top w:type="dxa" w:w="80"/>
              <w:left w:type="dxa" w:w="100"/>
              <w:bottom w:type="dxa" w:w="80"/>
              <w:right w:type="dxa" w:w="100"/>
            </w:tcMar>
          </w:tcPr>
          <w:p>
            <w:r>
              <w:t xml:space="preserve">95.16%</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r>
      <w:tr>
        <w:tc>
          <w:tcPr>
            <w:tcMar>
              <w:top w:type="dxa" w:w="80"/>
              <w:left w:type="dxa" w:w="100"/>
              <w:bottom w:type="dxa" w:w="80"/>
              <w:right w:type="dxa" w:w="100"/>
            </w:tcMar>
          </w:tcPr>
          <w:p>
            <w:r>
              <w:t xml:space="preserve">150 TPH Boiler (TPH)</w:t>
            </w:r>
          </w:p>
        </w:tc>
        <w:tc>
          <w:tcPr>
            <w:tcMar>
              <w:top w:type="dxa" w:w="80"/>
              <w:left w:type="dxa" w:w="100"/>
              <w:bottom w:type="dxa" w:w="80"/>
              <w:right w:type="dxa" w:w="100"/>
            </w:tcMar>
          </w:tcPr>
          <w:p>
            <w:r>
              <w:t xml:space="preserve">151.7</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r>
      <w:tr>
        <w:tc>
          <w:tcPr>
            <w:tcMar>
              <w:top w:type="dxa" w:w="80"/>
              <w:left w:type="dxa" w:w="100"/>
              <w:bottom w:type="dxa" w:w="80"/>
              <w:right w:type="dxa" w:w="100"/>
            </w:tcMar>
          </w:tcPr>
          <w:p>
            <w:r>
              <w:t xml:space="preserve">Ethanol Produced (LL)</w:t>
            </w:r>
          </w:p>
        </w:tc>
        <w:tc>
          <w:tcPr>
            <w:tcMar>
              <w:top w:type="dxa" w:w="80"/>
              <w:left w:type="dxa" w:w="100"/>
              <w:bottom w:type="dxa" w:w="80"/>
              <w:right w:type="dxa" w:w="100"/>
            </w:tcMar>
          </w:tcPr>
          <w:p>
            <w:r>
              <w:t xml:space="preserve">1.86</w:t>
            </w:r>
          </w:p>
        </w:tc>
        <w:tc>
          <w:tcPr>
            <w:tcMar>
              <w:top w:type="dxa" w:w="80"/>
              <w:left w:type="dxa" w:w="100"/>
              <w:bottom w:type="dxa" w:w="80"/>
              <w:right w:type="dxa" w:w="100"/>
            </w:tcMar>
          </w:tcPr>
          <w:p>
            <w:r>
              <w:t xml:space="preserve">1.38</w:t>
            </w:r>
          </w:p>
        </w:tc>
        <w:tc>
          <w:tcPr>
            <w:tcMar>
              <w:top w:type="dxa" w:w="80"/>
              <w:left w:type="dxa" w:w="100"/>
              <w:bottom w:type="dxa" w:w="80"/>
              <w:right w:type="dxa" w:w="100"/>
            </w:tcMar>
          </w:tcPr>
          <w:p>
            <w:r>
              <w:t xml:space="preserve">9.60</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Distillery PUF (%)</w:t>
            </w:r>
          </w:p>
        </w:tc>
        <w:tc>
          <w:tcPr>
            <w:tcMar>
              <w:top w:type="dxa" w:w="80"/>
              <w:left w:type="dxa" w:w="100"/>
              <w:bottom w:type="dxa" w:w="80"/>
              <w:right w:type="dxa" w:w="100"/>
            </w:tcMar>
          </w:tcPr>
          <w:p>
            <w:r>
              <w:t xml:space="preserve">100.72%</w:t>
            </w:r>
          </w:p>
        </w:tc>
        <w:tc>
          <w:tcPr>
            <w:tcMar>
              <w:top w:type="dxa" w:w="80"/>
              <w:left w:type="dxa" w:w="100"/>
              <w:bottom w:type="dxa" w:w="80"/>
              <w:right w:type="dxa" w:w="100"/>
            </w:tcMar>
          </w:tcPr>
          <w:p>
            <w:r>
              <w:t xml:space="preserve">76.82%</w:t>
            </w:r>
          </w:p>
        </w:tc>
        <w:tc>
          <w:tcPr>
            <w:tcMar>
              <w:top w:type="dxa" w:w="80"/>
              <w:left w:type="dxa" w:w="100"/>
              <w:bottom w:type="dxa" w:w="80"/>
              <w:right w:type="dxa" w:w="100"/>
            </w:tcMar>
          </w:tcPr>
          <w:p>
            <w:r>
              <w:t xml:space="preserve">71.95%</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Fermentation Eff. (%)</w:t>
            </w:r>
          </w:p>
        </w:tc>
        <w:tc>
          <w:tcPr>
            <w:tcMar>
              <w:top w:type="dxa" w:w="80"/>
              <w:left w:type="dxa" w:w="100"/>
              <w:bottom w:type="dxa" w:w="80"/>
              <w:right w:type="dxa" w:w="100"/>
            </w:tcMar>
          </w:tcPr>
          <w:p>
            <w:r>
              <w:t xml:space="preserve">91.03%</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r>
      <w:tr>
        <w:tc>
          <w:tcPr>
            <w:tcMar>
              <w:top w:type="dxa" w:w="80"/>
              <w:left w:type="dxa" w:w="100"/>
              <w:bottom w:type="dxa" w:w="80"/>
              <w:right w:type="dxa" w:w="100"/>
            </w:tcMar>
          </w:tcPr>
          <w:p>
            <w:r>
              <w:t xml:space="preserve">Steam Consumed (Kg/BL)</w:t>
            </w:r>
          </w:p>
        </w:tc>
        <w:tc>
          <w:tcPr>
            <w:tcMar>
              <w:top w:type="dxa" w:w="80"/>
              <w:left w:type="dxa" w:w="100"/>
              <w:bottom w:type="dxa" w:w="80"/>
              <w:right w:type="dxa" w:w="100"/>
            </w:tcMar>
          </w:tcPr>
          <w:p>
            <w:r>
              <w:t xml:space="preserve">4.30</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c>
          <w:tcPr>
            <w:tcMar>
              <w:top w:type="dxa" w:w="80"/>
              <w:left w:type="dxa" w:w="100"/>
              <w:bottom w:type="dxa" w:w="80"/>
              <w:right w:type="dxa" w:w="100"/>
            </w:tcMar>
          </w:tcPr>
          <w:p>
            <w:r>
              <w:t xml:space="preserve">No data</w:t>
            </w:r>
          </w:p>
        </w:tc>
      </w:tr>
    </w:tbl>
    <w:p>
      <w:pPr>
        <w:spacing w:after="300"/>
      </w:pPr>
    </w:p>
    <w:p>
      <w:r>
        <w:rPr>
          <w:b/>
          <w:bCs/>
          <w:color w:val="006666"/>
          <w:sz w:val="24"/>
          <w:szCs w:val="24"/>
        </w:rPr>
        <w:t xml:space="preserve">TABLE B – Qualitative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Area</w:t>
            </w:r>
          </w:p>
        </w:tc>
        <w:tc>
          <w:tcPr>
            <w:shd w:fill="006666" w:color="auto" w:val="clear"/>
            <w:tcMar>
              <w:top w:type="dxa" w:w="100"/>
              <w:left w:type="dxa" w:w="100"/>
              <w:bottom w:type="dxa" w:w="100"/>
              <w:right w:type="dxa" w:w="100"/>
            </w:tcMar>
          </w:tcPr>
          <w:p>
            <w:pPr>
              <w:jc w:val="center"/>
            </w:pPr>
            <w:r>
              <w:rPr>
                <w:b/>
                <w:bCs/>
                <w:color w:val="FFFFFF"/>
              </w:rPr>
              <w:t xml:space="preserve">Current Week Narrative</w:t>
            </w:r>
          </w:p>
        </w:tc>
        <w:tc>
          <w:tcPr>
            <w:shd w:fill="006666" w:color="auto" w:val="clear"/>
            <w:tcMar>
              <w:top w:type="dxa" w:w="100"/>
              <w:left w:type="dxa" w:w="100"/>
              <w:bottom w:type="dxa" w:w="100"/>
              <w:right w:type="dxa" w:w="100"/>
            </w:tcMar>
          </w:tcPr>
          <w:p>
            <w:pPr>
              <w:jc w:val="center"/>
            </w:pPr>
            <w:r>
              <w:rPr>
                <w:b/>
                <w:bCs/>
                <w:color w:val="FFFFFF"/>
              </w:rPr>
              <w:t xml:space="preserve">Change vs Last Week</w:t>
            </w:r>
          </w:p>
        </w:tc>
      </w:tr>
      <w:tr>
        <w:tc>
          <w:tcPr>
            <w:tcMar>
              <w:top w:type="dxa" w:w="80"/>
              <w:left w:type="dxa" w:w="100"/>
              <w:bottom w:type="dxa" w:w="80"/>
              <w:right w:type="dxa" w:w="100"/>
            </w:tcMar>
          </w:tcPr>
          <w:p>
            <w:r>
              <w:t xml:space="preserve">Engineering</w:t>
            </w:r>
          </w:p>
        </w:tc>
        <w:tc>
          <w:tcPr>
            <w:tcMar>
              <w:top w:type="dxa" w:w="80"/>
              <w:left w:type="dxa" w:w="100"/>
              <w:bottom w:type="dxa" w:w="80"/>
              <w:right w:type="dxa" w:w="100"/>
            </w:tcMar>
          </w:tcPr>
          <w:p>
            <w:r>
              <w:t xml:space="preserve">Crushing recorded 4.254 LQ for the week. Hours utilized at 98.68% with downtime 1.54 hrs. Mill extraction close to target with ME at 94.94%, RME at 95.16%. Pol % bagasse and moisture % bagasse higher than target ranges. Stoppages due to overload and bagasse jamming noted. Shredder vibration and power data reported. Several Capex projects ongoing with some materials received and part installations completed.</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Cane</w:t>
            </w:r>
          </w:p>
        </w:tc>
        <w:tc>
          <w:tcPr>
            <w:tcMar>
              <w:top w:type="dxa" w:w="80"/>
              <w:left w:type="dxa" w:w="100"/>
              <w:bottom w:type="dxa" w:w="80"/>
              <w:right w:type="dxa" w:w="100"/>
            </w:tcMar>
          </w:tcPr>
          <w:p>
            <w:r>
              <w:t xml:space="preserve">Indent maturity for gate at 50% and center 65%. Daily cane purchased rate low at 0.43 LQ. Pol in cane at 10.89%. Vehicle holding times vary with some dispute and truck availability issues causing delays. Contacted 14,802 farmers with purchi failure at center and 7,536 at gate.</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Production</w:t>
            </w:r>
          </w:p>
        </w:tc>
        <w:tc>
          <w:tcPr>
            <w:tcMar>
              <w:top w:type="dxa" w:w="80"/>
              <w:left w:type="dxa" w:w="100"/>
              <w:bottom w:type="dxa" w:w="80"/>
              <w:right w:type="dxa" w:w="100"/>
            </w:tcMar>
          </w:tcPr>
          <w:p>
            <w:r>
              <w:t xml:space="preserve">Sugar production stable at 0.12 LQ. Sugar bagging RS at 9,640 Qtls and DS at 2,440 Qtls. Recovery at 9.00%. Steam consumption high at 846 Kg/Qtl sugar.</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Power</w:t>
            </w:r>
          </w:p>
        </w:tc>
        <w:tc>
          <w:tcPr>
            <w:tcMar>
              <w:top w:type="dxa" w:w="80"/>
              <w:left w:type="dxa" w:w="100"/>
              <w:bottom w:type="dxa" w:w="80"/>
              <w:right w:type="dxa" w:w="100"/>
            </w:tcMar>
          </w:tcPr>
          <w:p>
            <w:r>
              <w:t xml:space="preserve">Power generation at 44.69 LU with 95.16% PLF for 30.85 MW turbine. Boiler utilizations good for 150 TPH. Power consumption per ton cane high at 32.61 KW.</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Distillery</w:t>
            </w:r>
          </w:p>
        </w:tc>
        <w:tc>
          <w:tcPr>
            <w:tcMar>
              <w:top w:type="dxa" w:w="80"/>
              <w:left w:type="dxa" w:w="100"/>
              <w:bottom w:type="dxa" w:w="80"/>
              <w:right w:type="dxa" w:w="100"/>
            </w:tcMar>
          </w:tcPr>
          <w:p>
            <w:r>
              <w:t xml:space="preserve">Distillery started operation from 30 Oct. Ethanol production at 1.86 LL for the week with high downtime of 132.5 hrs. Recovery and fermentation efficiencies improving near targets.</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Quality/EHS</w:t>
            </w:r>
          </w:p>
        </w:tc>
        <w:tc>
          <w:tcPr>
            <w:tcMar>
              <w:top w:type="dxa" w:w="80"/>
              <w:left w:type="dxa" w:w="100"/>
              <w:bottom w:type="dxa" w:w="80"/>
              <w:right w:type="dxa" w:w="100"/>
            </w:tcMar>
          </w:tcPr>
          <w:p>
            <w:r>
              <w:t xml:space="preserve">Total pol losses at 1.88%, bagasse pol and moisture slightly above target. Multiple hazard observations in distillery closed effectively with no injury.</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Capex</w:t>
            </w:r>
          </w:p>
        </w:tc>
        <w:tc>
          <w:tcPr>
            <w:tcMar>
              <w:top w:type="dxa" w:w="80"/>
              <w:left w:type="dxa" w:w="100"/>
              <w:bottom w:type="dxa" w:w="80"/>
              <w:right w:type="dxa" w:w="100"/>
            </w:tcMar>
          </w:tcPr>
          <w:p>
            <w:r>
              <w:t xml:space="preserve">Mill Roller shaft machining ongoing for spare roller. Rotary Screen refurbished and operational. Mud Removal System civil work continuing.</w:t>
            </w:r>
          </w:p>
        </w:tc>
        <w:tc>
          <w:tcPr>
            <w:tcMar>
              <w:top w:type="dxa" w:w="80"/>
              <w:left w:type="dxa" w:w="100"/>
              <w:bottom w:type="dxa" w:w="80"/>
              <w:right w:type="dxa" w:w="100"/>
            </w:tcMar>
          </w:tcPr>
          <w:p>
            <w:r>
              <w:t xml:space="preserve">No material change vs last week.</w:t>
            </w:r>
          </w:p>
        </w:tc>
      </w:tr>
    </w:tbl>
    <w:p>
      <w:pPr>
        <w:spacing w:after="300"/>
      </w:pPr>
    </w:p>
    <w:p>
      <w:pPr>
        <w:jc w:val="center"/>
      </w:pPr>
      <w:r>
        <w:rPr>
          <w:color w:val="888888"/>
          <w:sz w:val="18"/>
          <w:szCs w:val="18"/>
        </w:rPr>
        <w:t xml:space="preserve">This review is based exclusively on numbers and narratives disclosed in the weekly PDF slides.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2026-02-05T11:24:05.870Z</dcterms:created>
  <dcterms:modified xsi:type="dcterms:W3CDTF">2026-02-05T11:24:05.870Z</dcterms:modified>
</cp:coreProperties>
</file>

<file path=docProps/custom.xml><?xml version="1.0" encoding="utf-8"?>
<Properties xmlns="http://schemas.openxmlformats.org/officeDocument/2006/custom-properties" xmlns:vt="http://schemas.openxmlformats.org/officeDocument/2006/docPropsVTypes"/>
</file>