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t xml:space="preserve">Gobind Sugar Mill, Aira</w:t></w:r></w:p><w:p><w:r><w:t xml:space="preserve">Weekly Leadership Review</w:t></w:r></w:p><w:p><w:r><w:t xml:space="preserve">Week: 28th Dec. to 03th Jan. 2026 | Compared with: 21st Dec to 27th Dec 2025</w:t></w:r></w:p><w:p><w:r><w:t xml:space="preserve">Season Day: 70</w:t></w:r></w:p><w:p><w:pPr><w:spacing w:after="300"/></w:pPr></w:p><w:p><w:pPr><w:pStyle w:val="Heading2"/></w:pPr><w:r><w:t xml:space="preserve">PART 1 – INSIGHT NARRATIVE</w:t></w:r></w:p><w:p><w:pPr><w:pStyle w:val="Heading3"/></w:pPr><w:r><w:t xml:space="preserve">1. Executive Summary</w:t></w:r></w:p><w:p><w:r><w:rPr><w:b/><w:bCs/></w:rPr><w:t xml:space="preserve">CRUSHING PERFORMANCE: </w:t></w:r><w:r><w:t xml:space="preserve">Total sugarcane crush decreased to 6.91 LQ from 7.51 LQ last week. Highest crush with one edge of shredder tips reached 32.45 L Qtls (previous week 26.23 L Qtls). Capacity utilization declined to 98.79% from 107.29%. Average monthly crush rate was 104745 Qtls per day.</w:t></w:r></w:p><w:p><w:r><w:rPr><w:b/><w:bCs/></w:rPr><w:t xml:space="preserve">RECOVERY: </w:t></w:r><w:r><w:t xml:space="preserve">Sugar recovery marginally improved to 10.44% from 10.43%. Till date recovery maintained at 9.89%. Pol in cane increased slightly to 13.02% from 13.01%.</w:t></w:r></w:p><w:p><w:r><w:rPr><w:b/><w:bCs/></w:rPr><w:t xml:space="preserve">LOSSES: </w:t></w:r><w:r><w:t xml:space="preserve">Total losses increased to 2.58% from 2.52% mainly due to Pol in final molasses rising to 1.97% from 1.91%. Losses in bagasse and filter cake stayed flat.</w:t></w:r></w:p><w:p><w:r><w:rPr><w:b/><w:bCs/></w:rPr><w:t xml:space="preserve">POWER: </w:t></w:r><w:r><w:t xml:space="preserve">Power generation slightly declined to 63.66 LU from 64.71 LU. Power export marginally down at 36.80 LU from 36.92 LU. Overall power plant availability remains above 97%, with some turbines slightly below 100%.</w:t></w:r></w:p><w:p><w:r><w:rPr><w:b/><w:bCs/></w:rPr><w:t xml:space="preserve">DISTILLERY: </w:t></w:r><w:r><w:t xml:space="preserve">Ethanol production steady at 8.32 LL vs 8.42 LL. Capacity utilization remained high at 95.11% from 96.20%. Distillery experienced a planned shutdown on 03.01.2026 with steam supplied from 70 TPH boiler.</w:t></w:r></w:p><w:p><w:r><w:rPr><w:b/><w:bCs/></w:rPr><w:t xml:space="preserve">SUGAR QUALITY: </w:t></w:r><w:r><w:t xml:space="preserve">DS House ICUMSA improved: M-sugar at 85 vs 92; S-sugar at 88 vs 98. RS House quality declined slightly: L-sugar at 32 vs 29; M-sugar at 32 vs 29.</w:t></w:r></w:p><w:p><w:r><w:rPr><w:b/><w:bCs/></w:rPr><w:t xml:space="preserve">CAPEX / PROJECTS: </w:t></w:r><w:r><w:t xml:space="preserve">Mud Removal System nearing completion with all mechanical, electrical, and instrumentation work completed. GEA &amp; Chemical system expected at site by 05.01.2026 for commissioning.</w:t></w:r></w:p><w:p><w:r><w:rPr><w:b/><w:bCs/></w:rPr><w:t xml:space="preserve">EHS &amp; SAFETY: </w:t></w:r><w:r><w:t xml:space="preserve">No accidents reported this week. Road safety and BBS trainings conducted. Fire mock drill completed in Distillery. Implementation of reflection/radium tapes and random ethanol truck checks ongoing.</w:t></w:r></w:p><0/><0/><0/><0/><0/><0/><0/><0/><w:p><w:pPr><w:pStyle w:val="Heading3"/></w:pPr><w:r><w:t xml:space="preserve">Risks &amp; Watch-outs for the Coming Week</w:t></w:r></w:p><w:p><w:r><w:t xml:space="preserve">• Decrease in gate and center indent maturity poses supply risk.</w:t></w:r></w:p><w:p><w:r><w:t xml:space="preserve">• Increasing downtime in engineering requires attention to prevent crushing losses.</w:t></w:r></w:p><w:p><w:r><w:t xml:space="preserve">• Pol in final molasses increasing; monitor losses closely.</w:t></w:r></w:p><w:p><w:r><w:t xml:space="preserve">• Planned distillery shutdown requires careful steam management.</w:t></w:r></w:p><w:p><w:r><w:t xml:space="preserve">• Ongoing commissioning risk for Mud Removal System.</w:t></w:r></w:p><w:p><w:r><w:t xml:space="preserve">• Continued KCC loan and no ratoon issues affecting indent fulfillment.</w:t></w:r></w:p><w:p><w:r><w:t xml:space="preserve">• Repeat truck involved in accidents; must improve road safety training.</w:t></w:r></w:p><w:p><w:pPr><w:pStyle w:val="Heading3"/></w:pPr><w:r><w:t xml:space="preserve">TABLE A – Quantitative Discussion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p><w:r><w:t xml:space="preserve">KPI</w:t></w:r></w:p></w:tc><w:tc><w:p><w:r><w:t xml:space="preserve">Current Week</w:t></w:r></w:p></w:tc><w:tc><w:p><w:r><w:t xml:space="preserve">Last Week</w:t></w:r></w:p></w:tc><w:tc><w:p><w:r><w:t xml:space="preserve">Till Date</w:t></w:r></w:p></w:tc><w:tc><w:p><w:r><w:t xml:space="preserve">WoW Change</w:t></w:r></w:p></w:tc></w:tr><w:tr><w:tc><w:p><w:r><w:t xml:space="preserve">Cane Crushed (LQ)</w:t></w:r></w:p></w:tc><w:tc><w:p><w:r><w:t xml:space="preserve">6.91</w:t></w:r></w:p></w:tc><w:tc><w:p><w:r><w:t xml:space="preserve">7.51</w:t></w:r></w:p></w:tc><w:tc><w:p><w:r><w:t xml:space="preserve">63.14</w:t></w:r></w:p></w:tc><w:tc><w:p><w:r><w:t xml:space="preserve">-0.60 LQ</w:t></w:r></w:p></w:tc></w:tr><w:tr><w:tc><w:p><w:r><w:t xml:space="preserve">Sugar Recovery (%)</w:t></w:r></w:p></w:tc><w:tc><w:p><w:r><w:t xml:space="preserve">10.44%</w:t></w:r></w:p></w:tc><w:tc><w:p><w:r><w:t xml:space="preserve">10.43%</w:t></w:r></w:p></w:tc><w:tc><w:p><w:r><w:t xml:space="preserve">9.89%</w:t></w:r></w:p></w:tc><w:tc><w:p><w:r><w:t xml:space="preserve">+0.01 pp</w:t></w:r></w:p></w:tc></w:tr><w:tr><w:tc><w:p><w:r><w:t xml:space="preserve">Sugar Produced (LQ)</w:t></w:r></w:p></w:tc><w:tc><w:p><w:r><w:t xml:space="preserve">0.61</w:t></w:r></w:p></w:tc><w:tc><w:p><w:r><w:t xml:space="preserve">0.65</w:t></w:r></w:p></w:tc><w:tc><w:p><w:r><w:t xml:space="preserve">5.75</w:t></w:r></w:p></w:tc><w:tc><w:p><w:r><w:t xml:space="preserve">-0.04 LQ</w:t></w:r></w:p></w:tc></w:tr><w:tr><w:tc><w:p><w:r><w:t xml:space="preserve">Capacity Utilization (%)</w:t></w:r></w:p></w:tc><w:tc><w:p><w:r><w:t xml:space="preserve">98.79%</w:t></w:r></w:p></w:tc><w:tc><w:p><w:r><w:t xml:space="preserve">107.29%</w:t></w:r></w:p></w:tc><w:tc><w:p><w:r><w:t xml:space="preserve">100.08%</w:t></w:r></w:p></w:tc><w:tc><w:p><w:r><w:t xml:space="preserve">-8.50 pp</w:t></w:r></w:p></w:tc></w:tr><w:tr><w:tc><w:p><w:r><w:t xml:space="preserve">Total Losses (%)</w:t></w:r></w:p></w:tc><w:tc><w:p><w:r><w:t xml:space="preserve">2.58%</w:t></w:r></w:p></w:tc><w:tc><w:p><w:r><w:t xml:space="preserve">2.52%</w:t></w:r></w:p></w:tc><w:tc><w:p><w:r><w:t xml:space="preserve">2.11%</w:t></w:r></w:p></w:tc><w:tc><w:p><w:r><w:t xml:space="preserve">+0.06 pp</w:t></w:r></w:p></w:tc></w:tr><w:tr><w:tc><w:p><w:r><w:t xml:space="preserve">Pol % Bagasse</w:t></w:r></w:p></w:tc><w:tc><w:p><w:r><w:t xml:space="preserve">1.71%</w:t></w:r></w:p></w:tc><w:tc><w:p><w:r><w:t xml:space="preserve">1.71%</w:t></w:r></w:p></w:tc><w:tc><w:p><w:r><w:t xml:space="preserve">1.75%</w:t></w:r></w:p></w:tc><w:tc><w:p><w:r><w:t xml:space="preserve">Flat</w:t></w:r></w:p></w:tc></w:tr><w:tr><w:tc><w:p><w:r><w:t xml:space="preserve">DS ICUMSA (M-sugar)</w:t></w:r></w:p></w:tc><w:tc><w:p><w:r><w:t xml:space="preserve">85</w:t></w:r></w:p></w:tc><w:tc><w:p><w:r><w:t xml:space="preserve">92</w:t></w:r></w:p></w:tc><w:tc><w:p><w:r><w:t xml:space="preserve">105</w:t></w:r></w:p></w:tc><w:tc><w:p><w:r><w:t xml:space="preserve">-7</w:t></w:r></w:p></w:tc></w:tr><w:tr><w:tc><w:p><w:r><w:t xml:space="preserve">Power Generation (LU)</w:t></w:r></w:p></w:tc><w:tc><w:p><w:r><w:t xml:space="preserve">63.66</w:t></w:r></w:p></w:tc><w:tc><w:p><w:r><w:t xml:space="preserve">64.71</w:t></w:r></w:p></w:tc><w:tc><w:p><w:r><w:t xml:space="preserve">636.12</w:t></w:r></w:p></w:tc><w:tc><w:p><w:r><w:t xml:space="preserve">-1.02 LU</w:t></w:r></w:p></w:tc></w:tr><w:tr><w:tc><w:p><w:r><w:t xml:space="preserve">Power Export (LU)</w:t></w:r></w:p></w:tc><w:tc><w:p><w:r><w:t xml:space="preserve">36.80</w:t></w:r></w:p></w:tc><w:tc><w:p><w:r><w:t xml:space="preserve">36.92</w:t></w:r></w:p></w:tc><w:tc><w:p><w:r><w:t xml:space="preserve">375.73</w:t></w:r></w:p></w:tc><w:tc><w:p><w:r><w:t xml:space="preserve">-0.12 LU</w:t></w:r></w:p></w:tc></w:tr><w:tr><w:tc><w:p><w:r><w:t xml:space="preserve">Power PLF - 30.85 MW (%)</w:t></w:r></w:p></w:tc><w:tc><w:p><w:r><w:t xml:space="preserve">96.07%</w:t></w:r></w:p></w:tc><w:tc><w:p><w:r><w:t xml:space="preserve">96.69%</w:t></w:r></w:p></w:tc><w:tc><w:p><w:r><w:t xml:space="preserve">97.05%</w:t></w:r></w:p></w:tc><w:tc><w:p><w:r><w:t xml:space="preserve">-0.62 pp</w:t></w:r></w:p></w:tc></w:tr><w:tr><w:tc><w:p><w:r><w:t xml:space="preserve">150 TPH Boiler (TPH)</w:t></w:r></w:p></w:tc><w:tc><w:p><w:r><w:t xml:space="preserve">148.2</w:t></w:r></w:p></w:tc><w:tc><w:p><w:r><w:t xml:space="preserve">151.2</w:t></w:r></w:p></w:tc><w:tc><w:p><w:r><w:t xml:space="preserve">150.4</w:t></w:r></w:p></w:tc><w:tc><w:p><w:r><w:t xml:space="preserve">-3.0 TPH</w:t></w:r></w:p></w:tc></w:tr><w:tr><w:tc><w:p><w:r><w:t xml:space="preserve">Ethanol Produced (LL)</w:t></w:r></w:p></w:tc><w:tc><w:p><w:r><w:t xml:space="preserve">8.32</w:t></w:r></w:p></w:tc><w:tc><w:p><w:r><w:t xml:space="preserve">8.42</w:t></w:r></w:p></w:tc><w:tc><w:p><w:r><w:t xml:space="preserve">77.53</w:t></w:r></w:p></w:tc><w:tc><w:p><w:r><w:t xml:space="preserve">-0.10 LL</w:t></w:r></w:p></w:tc></w:tr><w:tr><w:tc><w:p><w:r><w:t xml:space="preserve">Distillery PUF (%)</w:t></w:r></w:p></w:tc><w:tc><w:p><w:r><w:t xml:space="preserve">95.11%</w:t></w:r></w:p></w:tc><w:tc><w:p><w:r><w:t xml:space="preserve">96.20%</w:t></w:r></w:p></w:tc><w:tc><w:p><w:r><w:t xml:space="preserve">95.33%</w:t></w:r></w:p></w:tc><w:tc><w:p><w:r><w:t xml:space="preserve">-1.09 pp</w:t></w:r></w:p></w:tc></w:tr><w:tr><w:tc><w:p><w:r><w:t xml:space="preserve">Fermentation Eff. (%)</w:t></w:r></w:p></w:tc><w:tc><w:p><w:r><w:t xml:space="preserve">91.40%</w:t></w:r></w:p></w:tc><w:tc><w:p><w:r><w:t xml:space="preserve">91.17%</w:t></w:r></w:p></w:tc><w:tc><w:p><w:r><w:t xml:space="preserve">90.95%</w:t></w:r></w:p></w:tc><w:tc><w:p><w:r><w:t xml:space="preserve">+0.23 pp</w:t></w:r></w:p></w:tc></w:tr><w:tr><w:tc><w:p><w:r><w:t xml:space="preserve">Steam Consumed (Kg/BL)</w:t></w:r></w:p></w:tc><w:tc><w:p><w:r><w:t xml:space="preserve">4.06</w:t></w:r></w:p></w:tc><w:tc><w:p><w:r><w:t xml:space="preserve">4.02</w:t></w:r></w:p></w:tc><w:tc><w:p><w:r><w:t xml:space="preserve">4.10</w:t></w:r></w:p></w:tc><w:tc><w:p><w:r><w:t xml:space="preserve">+0.04</w:t></w:r></w:p></w:tc></w:tr><w:tr><w:tc><w:p><w:r><w:t xml:space="preserve">Power Consumed (KWH/BL)</w:t></w:r></w:p></w:tc><w:tc><w:p><w:r><w:t xml:space="preserve">0.429</w:t></w:r></w:p></w:tc><w:tc><w:p><w:r><w:t xml:space="preserve">0.434</w:t></w:r></w:p></w:tc><w:tc><w:p><w:r><w:t xml:space="preserve">0.432</w:t></w:r></w:p></w:tc><w:tc><w:p><w:r><w:t xml:space="preserve">-0.005</w:t></w:r></w:p></w:tc></w:tr></w:tbl><w:p><w:pPr><w:pStyle w:val="Heading3"/></w:pPr><w:r><w:t xml:space="preserve">TABLE B – Qualitative Discussion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p><w:r><w:t xml:space="preserve">Area</w:t></w:r></w:p></w:tc><w:tc><w:p><w:r><w:t xml:space="preserve">Current Week Narrative</w:t></w:r></w:p></w:tc><w:tc><w:p><w:r><w:t xml:space="preserve">Change vs Last Week</w:t></w:r></w:p></w:tc></w:tr><w:tr><w:tc><w:p><w:r><w:t xml:space="preserve">Engineering</w:t></w:r></w:p></w:tc><w:tc><w:p><w:r><w:t xml:space="preserve">Hours utilized decreased to 92.93%. Downtime increased to 3.53 hrs from 0.32 hrs due to overload related stoppages and scheduled general cleaning. Shredder tips replaced with new, side hammers partially replaced.  Total crushing 32.45 L Qtls with one edge of shredder tips.</w:t></w:r></w:p></w:tc><w:tc><w:p><w:r><w:t xml:space="preserve">Operated first time above 25 L Qtls with one edge of shredder tips previous week (26.23 L Qtls). Downtime increased and general cleaning scheduled.</w:t></w:r></w:p></w:tc></w:tr><w:tr><w:tc><w:p><w:r><w:t xml:space="preserve">Cane Planning</w:t></w:r></w:p></w:tc><w:tc><w:p><w:r><w:t xml:space="preserve">Daily indent rate increased to 1.11 LQ. Gate and center indent maturity declined to 81% and 71% respectively. Affected cane reduced to 0.5%. Ongoing issues with KCC loans, dead growers, and uprooted ratoons continue as top reasons for indent failure.</w:t></w:r></w:p></w:tc><w:tc><w:p><w:r><w:t xml:space="preserve">Gate indent maturity declined from 95% to 81%; center indent maturity declined from 100% to 71%. Affected cane reduced from 1.1% to 0.5%.</w:t></w:r></w:p></w:tc></w:tr><w:tr><w:tc><w:p><w:r><w:t xml:space="preserve">Production</w:t></w:r></w:p></w:tc><w:tc><w:p><w:r><w:t xml:space="preserve">Sugar production decreased slightly to 0.61 LQ. DS House ICUMSA M-sugar improved to 85 from 92. Some quality parameters stable. Steam consumption increased to 459 Kg/Qtl sugar. Recovery stable at 11.18%.</w:t></w:r></w:p></w:tc><w:tc><w:p><w:r><w:t xml:space="preserve">Sugar production decreased by 0.04 LQ. DS House ICUMSA M-sugar improved; steam consumption increased.</w:t></w:r></w:p></w:tc></w:tr><w:tr><w:tc><w:p><w:r><w:t xml:space="preserve">Power</w:t></w:r></w:p></w:tc><w:tc><w:p><w:r><w:t xml:space="preserve">Power generation decreased to 63.66 LU. Power export nearly flat at 36.80 LU. Turbine PLF marginally decreased. Boiler capacities stable but 35 TPH boiler nearly at threshold capacity.</w:t></w:r></w:p></w:tc><w:tc><w:p><w:r><w:t xml:space="preserve">Power generation declined by 1.02 LU. Power export nearly flat.</w:t></w:r></w:p></w:tc></w:tr><w:tr><w:tc><w:p><w:r><w:t xml:space="preserve">Distillery</w:t></w:r></w:p></w:tc><w:tc><w:p><w:r><w:t xml:space="preserve">Ethanol production slightly declined to 8.32 LL. Distillery had a planned shutdown on 03.01.26 with alternate steam supply. Efficiency metrics stable.</w:t></w:r></w:p></w:tc><w:tc><w:p><w:r><w:t xml:space="preserve">Capacity utilization declined from 96.2% to 95.11%. Planned shutdown during the week.</w:t></w:r></w:p></w:tc></w:tr><w:tr><w:tc><w:p><w:r><w:t xml:space="preserve">Quality/EHS</w:t></w:r></w:p></w:tc><w:tc><w:p><w:r><w:t xml:space="preserve">Total losses increased slightly to 2.58% with Pol in molasses rising. Fire and safety trainings ongoing. No accidents reported this week, 23 incidents cumulative in 9 weeks. 4 BBS sessions conducted.</w:t></w:r></w:p></w:tc><w:tc><w:p><w:r><w:t xml:space="preserve">Total losses up by 0.06 pp. Safety trainings and no lethality accidents reported.</w:t></w:r></w:p></w:tc></w:tr><w:tr><w:tc><w:p><w:r><w:t xml:space="preserve">Capex</w:t></w:r></w:p></w:tc><w:tc><w:p><w:r><w:t xml:space="preserve">Mud Removal System nearing completion with piping, electrical and instrumentation completed. Commissioning expected 05.01.26.</w:t></w:r></w:p></w:tc><w:tc><w:p><w:r><w:t xml:space="preserve">Progress from 90% to near completion; commissioning imminent.</w:t></w:r></w:p></w:tc></w:tr></w:tbl><w:p><w:pPr><w:spacing w:before="400"/></w:pPr><w:r><w:t xml:space="preserve">This review is based exclusively on numbers and narratives disclosed in the weekly PDF slides.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2026-02-01T06:25:01.635Z</dcterms:created>
  <dcterms:modified xsi:type="dcterms:W3CDTF">2026-02-01T06:25:01.636Z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