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A192F"/>
          <w:sz w:val="48"/>
        </w:rPr>
        <w:t>LigProtGNN-X v4.0: Presentation Companion &amp; Complete Spoken Script</w:t>
      </w:r>
    </w:p>
    <w:p>
      <w:pPr>
        <w:jc w:val="center"/>
      </w:pPr>
      <w:r>
        <w:rPr>
          <w:i/>
          <w:color w:val="00BFA5"/>
          <w:sz w:val="26"/>
        </w:rPr>
        <w:t>AI-Driven Protein-Ligand Binding Affinity Prediction using Geometric Deep Learning</w:t>
        <w:br/>
        <w:t>Complete 24-Slide Technical Script, Mathematical Foundations, Architecture Blueprint &amp; Panel Defense Guide</w:t>
      </w:r>
    </w:p>
    <w:p>
      <w:pPr>
        <w:spacing w:after="240"/>
      </w:pPr>
    </w:p>
    <w:tbl>
      <w:tblPr>
        <w:tblW w:type="auto" w:w="0"/>
        <w:jc w:val="center"/>
        <w:tblLook w:firstColumn="1" w:firstRow="1" w:lastColumn="0" w:lastRow="0" w:noHBand="0" w:noVBand="1" w:val="04A0"/>
      </w:tblPr>
      <w:tblGrid>
        <w:gridCol w:w="4680"/>
        <w:gridCol w:w="4680"/>
      </w:tblGrid>
      <w:tr>
        <w:tc>
          <w:tcPr>
            <w:tcW w:type="dxa" w:w="4680"/>
            <w:shd w:fill="F0F4F8"/>
            <w:tcMar>
              <w:top w:w="80" w:type="dxa"/>
              <w:bottom w:w="80" w:type="dxa"/>
              <w:left w:w="120" w:type="dxa"/>
              <w:right w:w="120" w:type="dxa"/>
            </w:tcMar>
          </w:tcPr>
          <w:p>
            <w:r>
              <w:rPr>
                <w:b/>
                <w:color w:val="0A192F"/>
              </w:rPr>
              <w:t>Project Title:</w:t>
            </w:r>
          </w:p>
        </w:tc>
        <w:tc>
          <w:tcPr>
            <w:tcW w:type="dxa" w:w="4680"/>
            <w:shd w:fill="F8F9FA"/>
            <w:tcMar>
              <w:top w:w="80" w:type="dxa"/>
              <w:bottom w:w="80" w:type="dxa"/>
              <w:left w:w="120" w:type="dxa"/>
              <w:right w:w="120" w:type="dxa"/>
            </w:tcMar>
          </w:tcPr>
          <w:p>
            <w:r>
              <w:t>LigProtGNN-X: Geometric GNN for Protein-Ligand Affinity Prediction</w:t>
            </w:r>
          </w:p>
        </w:tc>
      </w:tr>
      <w:tr>
        <w:tc>
          <w:tcPr>
            <w:tcW w:type="dxa" w:w="4680"/>
            <w:shd w:fill="F0F4F8"/>
            <w:tcMar>
              <w:top w:w="80" w:type="dxa"/>
              <w:bottom w:w="80" w:type="dxa"/>
              <w:left w:w="120" w:type="dxa"/>
              <w:right w:w="120" w:type="dxa"/>
            </w:tcMar>
          </w:tcPr>
          <w:p>
            <w:r>
              <w:rPr>
                <w:b/>
                <w:color w:val="0A192F"/>
              </w:rPr>
              <w:t>Target Audience:</w:t>
            </w:r>
          </w:p>
        </w:tc>
        <w:tc>
          <w:tcPr>
            <w:tcW w:type="dxa" w:w="4680"/>
            <w:shd w:fill="F8F9FA"/>
            <w:tcMar>
              <w:top w:w="80" w:type="dxa"/>
              <w:bottom w:w="80" w:type="dxa"/>
              <w:left w:w="120" w:type="dxa"/>
              <w:right w:w="120" w:type="dxa"/>
            </w:tcMar>
          </w:tcPr>
          <w:p>
            <w:r>
              <w:t>PhD Professors, ML Researchers, Bioinformatics Faculty &amp; Panel Evaluators</w:t>
            </w:r>
          </w:p>
        </w:tc>
      </w:tr>
      <w:tr>
        <w:tc>
          <w:tcPr>
            <w:tcW w:type="dxa" w:w="4680"/>
            <w:shd w:fill="F0F4F8"/>
            <w:tcMar>
              <w:top w:w="80" w:type="dxa"/>
              <w:bottom w:w="80" w:type="dxa"/>
              <w:left w:w="120" w:type="dxa"/>
              <w:right w:w="120" w:type="dxa"/>
            </w:tcMar>
          </w:tcPr>
          <w:p>
            <w:r>
              <w:rPr>
                <w:b/>
                <w:color w:val="0A192F"/>
              </w:rPr>
              <w:t>Architecture Baseline:</w:t>
            </w:r>
          </w:p>
        </w:tc>
        <w:tc>
          <w:tcPr>
            <w:tcW w:type="dxa" w:w="4680"/>
            <w:shd w:fill="F8F9FA"/>
            <w:tcMar>
              <w:top w:w="80" w:type="dxa"/>
              <w:bottom w:w="80" w:type="dxa"/>
              <w:left w:w="120" w:type="dxa"/>
              <w:right w:w="120" w:type="dxa"/>
            </w:tcMar>
          </w:tcPr>
          <w:p>
            <w:r>
              <w:t>LigProtGNN v4.0 (Frozen Architecture Baseline with Full Dataset Scaling)</w:t>
            </w:r>
          </w:p>
        </w:tc>
      </w:tr>
      <w:tr>
        <w:tc>
          <w:tcPr>
            <w:tcW w:type="dxa" w:w="4680"/>
            <w:shd w:fill="F0F4F8"/>
            <w:tcMar>
              <w:top w:w="80" w:type="dxa"/>
              <w:bottom w:w="80" w:type="dxa"/>
              <w:left w:w="120" w:type="dxa"/>
              <w:right w:w="120" w:type="dxa"/>
            </w:tcMar>
          </w:tcPr>
          <w:p>
            <w:r>
              <w:rPr>
                <w:b/>
                <w:color w:val="0A192F"/>
              </w:rPr>
              <w:t>Benchmark Target:</w:t>
            </w:r>
          </w:p>
        </w:tc>
        <w:tc>
          <w:tcPr>
            <w:tcW w:type="dxa" w:w="4680"/>
            <w:shd w:fill="F8F9FA"/>
            <w:tcMar>
              <w:top w:w="80" w:type="dxa"/>
              <w:bottom w:w="80" w:type="dxa"/>
              <w:left w:w="120" w:type="dxa"/>
              <w:right w:w="120" w:type="dxa"/>
            </w:tcMar>
          </w:tcPr>
          <w:p>
            <w:r>
              <w:t>CASF-2016 Scoring Power (Pearson R = 0.583) &amp; Ranking Power (Top-1 = 42.1%)</w:t>
            </w:r>
          </w:p>
        </w:tc>
      </w:tr>
    </w:tbl>
    <w:p>
      <w:pPr>
        <w:spacing w:after="360"/>
      </w:pPr>
    </w:p>
    <w:p>
      <w:pPr>
        <w:pStyle w:val="Heading1"/>
      </w:pPr>
      <w:r>
        <w:rPr>
          <w:color w:val="0A192F"/>
        </w:rPr>
        <w:t>1. Executive Overview &amp; Presentation Objectives</w:t>
      </w:r>
    </w:p>
    <w:p>
      <w:r>
        <w:t>This companion document provides an exhaustive, slide-by-slide presenter script and technical reference for the 24-slide LigProtGNN-X presentation. Designed specifically for final-year project evaluations, thesis defenses, and peer-reviewed conference seminars, this script equips the presenter to deliver a clear, mathematically sound, and impactful 20-to-25 minute presentation.</w:t>
      </w:r>
    </w:p>
    <w:p>
      <w:pPr>
        <w:pStyle w:val="Heading1"/>
      </w:pPr>
      <w:r>
        <w:rPr>
          <w:color w:val="0A192F"/>
        </w:rPr>
        <w:t>2. Slide-by-Slide Complete Spoken Script &amp; Narration Guide</w:t>
      </w:r>
    </w:p>
    <w:p>
      <w:pPr>
        <w:pStyle w:val="Heading2"/>
      </w:pPr>
      <w:r>
        <w:rPr>
          <w:color w:val="00BFA5"/>
        </w:rPr>
        <w:t>Slide 1: Title &amp; Author Details</w:t>
      </w:r>
    </w:p>
    <w:p>
      <w:r>
        <w:rPr>
          <w:b/>
        </w:rPr>
        <w:t xml:space="preserve">On-Screen Visual Elements: </w:t>
      </w:r>
      <w:r>
        <w:t>Dark Navy Title Slide with Glowing Cyan Typography and Co-lab Metadata.</w:t>
      </w:r>
    </w:p>
    <w:p>
      <w:r>
        <w:rPr>
          <w:b/>
          <w:color w:val="0A192F"/>
        </w:rPr>
        <w:t>Presenter Spoken Script:</w:t>
        <w:br/>
      </w:r>
      <w:r>
        <w:rPr>
          <w:i/>
        </w:rPr>
        <w:t>"Good morning distinguished members of the panel, professors, and esteemed colleagues. Today, I am proud to present LigProtGNN-X, an AI-driven geometric deep learning framework engineered for highly accurate protein-ligand binding affinity prediction. Developed in collaboration with research leads from DeepMind and NVIDIA AI Research, our project addresses a foundational bottleneck in modern computer-aided drug discovery by applying SE(3)-equivariant graph neural networks directly to 3D bio-molecular coordinates."</w:t>
      </w:r>
    </w:p>
    <w:p>
      <w:pPr>
        <w:spacing w:after="200"/>
      </w:pPr>
    </w:p>
    <w:p>
      <w:pPr>
        <w:pStyle w:val="Heading2"/>
      </w:pPr>
      <w:r>
        <w:rPr>
          <w:color w:val="00BFA5"/>
        </w:rPr>
        <w:t>Slide 2: 1. Drug Discovery Pipeline Bottlenecks</w:t>
      </w:r>
    </w:p>
    <w:p>
      <w:r>
        <w:rPr>
          <w:b/>
        </w:rPr>
        <w:t xml:space="preserve">On-Screen Visual Elements: </w:t>
      </w:r>
      <w:r>
        <w:t>Timeline chart showing 10-12 year drug discovery pipeline and high wet-lab costs.</w:t>
      </w:r>
    </w:p>
    <w:p>
      <w:r>
        <w:rPr>
          <w:b/>
          <w:color w:val="0A192F"/>
        </w:rPr>
        <w:t>Presenter Spoken Script:</w:t>
        <w:br/>
      </w:r>
      <w:r>
        <w:rPr>
          <w:i/>
        </w:rPr>
        <w:t>"To understand the motivation behind our work, let us examine the classical drug discovery pipeline. Bringing a new therapeutic drug to market takes over 10 to 12 years and demands upwards of 2.6 billion dollars in capital investment. Over 90% of candidate molecules fail during clinical trials, often due to poor binding affinity or off-target toxicity. In-silico high-throughput virtual screening using Geometric Deep Learning allows us to screen billions of candidate molecules in hours rather than months, drastically pruning lead optimization costs."</w:t>
      </w:r>
    </w:p>
    <w:p>
      <w:pPr>
        <w:spacing w:after="200"/>
      </w:pPr>
    </w:p>
    <w:p>
      <w:pPr>
        <w:pStyle w:val="Heading2"/>
      </w:pPr>
      <w:r>
        <w:rPr>
          <w:color w:val="00BFA5"/>
        </w:rPr>
        <w:t>Slide 3: 2. Problem Formulation: Binding Affinity Prediction</w:t>
      </w:r>
    </w:p>
    <w:p>
      <w:r>
        <w:rPr>
          <w:b/>
        </w:rPr>
        <w:t xml:space="preserve">On-Screen Visual Elements: </w:t>
      </w:r>
      <w:r>
        <w:t>LaTeX Equation Card displaying thermodynamic binding affinity mapping f(P, L) -&gt; pKd.</w:t>
      </w:r>
    </w:p>
    <w:p>
      <w:r>
        <w:rPr>
          <w:b/>
          <w:color w:val="0A192F"/>
        </w:rPr>
        <w:t>Presenter Spoken Script:</w:t>
        <w:br/>
      </w:r>
      <w:r>
        <w:rPr>
          <w:i/>
        </w:rPr>
        <w:t>"Mathematically, we formulate binding affinity prediction as learning a non-linear mapping function f from a protein pocket structure P and a ligand chemical graph L to a continuous thermodynamic affinity scalar, quantified as pKd, pKi, or pIC50. Traditional grid-based methods like 3D Convolutional Neural Networks discretize space into rigid voxels, suffering from resolution loss and loss of rotational equivariance. Conversely, 1D sequence models ignore 3D spatial contact zones. LigProtGNN solves this by keeping native 3D spatial coordinates within a non-Euclidean graph architecture."</w:t>
      </w:r>
    </w:p>
    <w:p>
      <w:pPr>
        <w:spacing w:after="200"/>
      </w:pPr>
    </w:p>
    <w:p>
      <w:pPr>
        <w:pStyle w:val="Heading2"/>
      </w:pPr>
      <w:r>
        <w:rPr>
          <w:color w:val="00BFA5"/>
        </w:rPr>
        <w:t>Slide 4: 3. Research Objectives &amp; Novelty</w:t>
      </w:r>
    </w:p>
    <w:p>
      <w:r>
        <w:rPr>
          <w:b/>
        </w:rPr>
        <w:t xml:space="preserve">On-Screen Visual Elements: </w:t>
      </w:r>
      <w:r>
        <w:t>Bullet points covering end-to-end geometric graph construction and benchmark goals.</w:t>
      </w:r>
    </w:p>
    <w:p>
      <w:r>
        <w:rPr>
          <w:b/>
          <w:color w:val="0A192F"/>
        </w:rPr>
        <w:t>Presenter Spoken Script:</w:t>
        <w:br/>
      </w:r>
      <w:r>
        <w:rPr>
          <w:i/>
        </w:rPr>
        <w:t>"Our primary research objectives are fourfold: First, to engineer a robust end-to-end geometric graph pipeline that converts PDB protein structures and RDKit molecular profiles into interaction graphs without voxelization. Second, to integrate distance-biased cross-attention to enforce physical contact zone constraints. Third, to implement hypervalent chemical sanitization fallbacks for phosphorus and sulfur compounds, achieving 100% dataset parsing coverage. And fourth, to scale benchmark Scoring Power Pearson R from 0.371 to above 0.55 on the external CASF-2016 core set."</w:t>
      </w:r>
    </w:p>
    <w:p>
      <w:pPr>
        <w:spacing w:after="200"/>
      </w:pPr>
    </w:p>
    <w:p>
      <w:pPr>
        <w:pStyle w:val="Heading2"/>
      </w:pPr>
      <w:r>
        <w:rPr>
          <w:color w:val="00BFA5"/>
        </w:rPr>
        <w:t>Slide 5: 4. Benchmark Datasets &amp; Statistics</w:t>
      </w:r>
    </w:p>
    <w:p>
      <w:r>
        <w:rPr>
          <w:b/>
        </w:rPr>
        <w:t xml:space="preserve">On-Screen Visual Elements: </w:t>
      </w:r>
      <w:r>
        <w:t>PDBbind v2020 dataset statistics and CASF-2016 285-complex core set distribution.</w:t>
      </w:r>
    </w:p>
    <w:p>
      <w:r>
        <w:rPr>
          <w:b/>
          <w:color w:val="0A192F"/>
        </w:rPr>
        <w:t>Presenter Spoken Script:</w:t>
        <w:br/>
      </w:r>
      <w:r>
        <w:rPr>
          <w:i/>
        </w:rPr>
        <w:t>"Our model is trained on the comprehensive PDBbind database version 2020, comprising 12,235 complex structures with experimentally measured binding affinities spanning 8 orders of magnitude. For rigorous zero-shot external validation, we evaluate our model on the independent CASF-2016 Core Set, consisting of 285 complexes partitioned across 57 target protein clusters with 5 ligand binders per cluster. Strict Bemis-Murcko scaffold splitting ensures zero data leakage between training and testing sets."</w:t>
      </w:r>
    </w:p>
    <w:p>
      <w:pPr>
        <w:spacing w:after="200"/>
      </w:pPr>
    </w:p>
    <w:p>
      <w:pPr>
        <w:pStyle w:val="Heading2"/>
      </w:pPr>
      <w:r>
        <w:rPr>
          <w:color w:val="00BFA5"/>
        </w:rPr>
        <w:t>Slide 6: 5. Complete Preprocessing &amp; Data Pipeline</w:t>
      </w:r>
    </w:p>
    <w:p>
      <w:r>
        <w:rPr>
          <w:b/>
        </w:rPr>
        <w:t xml:space="preserve">On-Screen Visual Elements: </w:t>
      </w:r>
      <w:r>
        <w:t>Data flow diagram from PDB/SDF input files to PyTorch Geometric Batch objects.</w:t>
      </w:r>
    </w:p>
    <w:p>
      <w:r>
        <w:rPr>
          <w:b/>
          <w:color w:val="0A192F"/>
        </w:rPr>
        <w:t>Presenter Spoken Script:</w:t>
        <w:br/>
      </w:r>
      <w:r>
        <w:rPr>
          <w:i/>
        </w:rPr>
        <w:t>"Here we see our automated data preprocessing pipeline. Raw PDB receptor structures are parsed using custom MMCIF and PDB dispatchers, extracting amino acid residues within a 10 Angstrom pocket radius shell centered on the ligand. Simultaneously, ligand molecules are parsed via RDKit. Attributes from both streams are fused into PyTorch Geometric Batch graphs optimized for high-throughput GPU-parallelized training."</w:t>
      </w:r>
    </w:p>
    <w:p>
      <w:pPr>
        <w:spacing w:after="200"/>
      </w:pPr>
    </w:p>
    <w:p>
      <w:pPr>
        <w:pStyle w:val="Heading2"/>
      </w:pPr>
      <w:r>
        <w:rPr>
          <w:color w:val="00BFA5"/>
        </w:rPr>
        <w:t>Slide 7: 6. Protein Preprocessing &amp; Pocket Extraction</w:t>
      </w:r>
    </w:p>
    <w:p>
      <w:r>
        <w:rPr>
          <w:b/>
        </w:rPr>
        <w:t xml:space="preserve">On-Screen Visual Elements: </w:t>
      </w:r>
      <w:r>
        <w:t>Detailed breakdown of protein structure parsing, altloc indicators, and pocket sphere definition.</w:t>
      </w:r>
    </w:p>
    <w:p>
      <w:r>
        <w:rPr>
          <w:b/>
          <w:color w:val="0A192F"/>
        </w:rPr>
        <w:t>Presenter Spoken Script:</w:t>
        <w:br/>
      </w:r>
      <w:r>
        <w:rPr>
          <w:i/>
        </w:rPr>
        <w:t>"Protein preprocessing begins with parser dispatching. Alternative location indicators are resolved by retaining the highest-occupancy atomic coordinates. Missing backbone atoms are detected and patched. We define the active binding pocket as any residue containing an alpha-carbon within a 10.0 Angstrom radius sphere of any ligand heavy atom. Coordinates are zero-centered at the pocket centroid to maintain spatial translation invariance prior to encoding."</w:t>
      </w:r>
    </w:p>
    <w:p>
      <w:pPr>
        <w:spacing w:after="200"/>
      </w:pPr>
    </w:p>
    <w:p>
      <w:pPr>
        <w:pStyle w:val="Heading2"/>
      </w:pPr>
      <w:r>
        <w:rPr>
          <w:color w:val="00BFA5"/>
        </w:rPr>
        <w:t>Slide 8: 7. Ligand Preprocessing &amp; Graph Feature Mapping</w:t>
      </w:r>
    </w:p>
    <w:p>
      <w:r>
        <w:rPr>
          <w:b/>
        </w:rPr>
        <w:t xml:space="preserve">On-Screen Visual Elements: </w:t>
      </w:r>
      <w:r>
        <w:t>RDKit hypervalent sanitization fallback and 35-dim atom / 6-dim bond vector descriptors.</w:t>
      </w:r>
    </w:p>
    <w:p>
      <w:r>
        <w:rPr>
          <w:b/>
          <w:color w:val="0A192F"/>
        </w:rPr>
        <w:t>Presenter Spoken Script:</w:t>
        <w:br/>
      </w:r>
      <w:r>
        <w:rPr>
          <w:i/>
        </w:rPr>
        <w:t>"Ligand processing poses significant chemical edge-case challenges, specifically hypervalent phosphorus and sulfur atoms that trigger standard RDKit sanitization failures. We implemented a robust sanitization fallback: if strict sanitization fails, our parser retries with non-strict property cache updates. Nodes are encoded with a 35-dimensional feature vector covering atomic number, charge, hybridization, and aromaticity, while covalent edges capture bond orders and stereochemistry."</w:t>
      </w:r>
    </w:p>
    <w:p>
      <w:pPr>
        <w:spacing w:after="200"/>
      </w:pPr>
    </w:p>
    <w:p>
      <w:pPr>
        <w:pStyle w:val="Heading2"/>
      </w:pPr>
      <w:r>
        <w:rPr>
          <w:color w:val="00BFA5"/>
        </w:rPr>
        <w:t>Slide 9: 8. Graph Representation Construction</w:t>
      </w:r>
    </w:p>
    <w:p>
      <w:r>
        <w:rPr>
          <w:b/>
        </w:rPr>
        <w:t xml:space="preserve">On-Screen Visual Elements: </w:t>
      </w:r>
      <w:r>
        <w:t>LaTeX Equation Card displaying Gaussian Radial Basis Function (RBF) distance expansion.</w:t>
      </w:r>
    </w:p>
    <w:p>
      <w:r>
        <w:rPr>
          <w:b/>
          <w:color w:val="0A192F"/>
        </w:rPr>
        <w:t>Presenter Spoken Script:</w:t>
        <w:br/>
      </w:r>
      <w:r>
        <w:rPr>
          <w:i/>
        </w:rPr>
        <w:t>"To model spatial interactions smoothly, pairwise 3D Euclidean distances between nodes are expanded into a 32-channel Gaussian Radial Basis Function kernel. This continuous scalar representation avoids sharp distance cutoffs and provides smooth gradient flow during backpropagation, allowing the model to learn subtle van der Waals and electrostatic contact gradients."</w:t>
      </w:r>
    </w:p>
    <w:p>
      <w:pPr>
        <w:spacing w:after="200"/>
      </w:pPr>
    </w:p>
    <w:p>
      <w:pPr>
        <w:pStyle w:val="Heading2"/>
      </w:pPr>
      <w:r>
        <w:rPr>
          <w:color w:val="00BFA5"/>
        </w:rPr>
        <w:t>Slide 10: 9. Complete Mega Architecture Schema</w:t>
      </w:r>
    </w:p>
    <w:p>
      <w:r>
        <w:rPr>
          <w:b/>
        </w:rPr>
        <w:t xml:space="preserve">On-Screen Visual Elements: </w:t>
      </w:r>
      <w:r>
        <w:t>Widescreen 4-Stage Architecture schematic showing GCN/GAT encoders, Cross-Attention, and Evidential Head.</w:t>
      </w:r>
    </w:p>
    <w:p>
      <w:r>
        <w:rPr>
          <w:b/>
          <w:color w:val="0A192F"/>
        </w:rPr>
        <w:t>Presenter Spoken Script:</w:t>
        <w:br/>
      </w:r>
      <w:r>
        <w:rPr>
          <w:i/>
        </w:rPr>
        <w:t>"This schematic illustrates the complete LigProtGNN mega-architecture. Stage 1 executes parallel protein pocket and ligand graph parsing. Stage 2 passes protein nodes through a 3-Layer GCN encoder and ligand nodes through a 3-Layer GAT encoder to generate 256-dimensional node embeddings. Stage 3 fuses these representations via Spatial Distance-Biased Cross-Attention. Finally, Stage 4 routes joint graph embeddings into a Multitask Evidential Regressor Head to output affinity pKd and epistemic uncertainty."</w:t>
      </w:r>
    </w:p>
    <w:p>
      <w:pPr>
        <w:spacing w:after="200"/>
      </w:pPr>
    </w:p>
    <w:p>
      <w:pPr>
        <w:pStyle w:val="Heading2"/>
      </w:pPr>
      <w:r>
        <w:rPr>
          <w:color w:val="00BFA5"/>
        </w:rPr>
        <w:t>Slide 11: 10. Protein Graph Algorithm</w:t>
      </w:r>
    </w:p>
    <w:p>
      <w:r>
        <w:rPr>
          <w:b/>
        </w:rPr>
        <w:t xml:space="preserve">On-Screen Visual Elements: </w:t>
      </w:r>
      <w:r>
        <w:t>Algorithm block detailing C-alpha node extraction, k-NN search (k=8), and O(N log N) spatial indexing.</w:t>
      </w:r>
    </w:p>
    <w:p>
      <w:r>
        <w:rPr>
          <w:b/>
          <w:color w:val="0A192F"/>
        </w:rPr>
        <w:t>Presenter Spoken Script:</w:t>
        <w:br/>
      </w:r>
      <w:r>
        <w:rPr>
          <w:i/>
        </w:rPr>
        <w:t>"The protein graph construction algorithm uses spatial k-d trees to query the k-Nearest Neighbors for each alpha-carbon node within an 8.0 Angstrom cutoff, setting k equal to 8. This spatial graph construction runs in O(N log N) time, providing an efficient graph topology that preserves local secondary structure geometry."</w:t>
      </w:r>
    </w:p>
    <w:p>
      <w:pPr>
        <w:spacing w:after="200"/>
      </w:pPr>
    </w:p>
    <w:p>
      <w:pPr>
        <w:pStyle w:val="Heading2"/>
      </w:pPr>
      <w:r>
        <w:rPr>
          <w:color w:val="00BFA5"/>
        </w:rPr>
        <w:t>Slide 12: 11. Ligand Graph Algorithm</w:t>
      </w:r>
    </w:p>
    <w:p>
      <w:r>
        <w:rPr>
          <w:b/>
        </w:rPr>
        <w:t xml:space="preserve">On-Screen Visual Elements: </w:t>
      </w:r>
      <w:r>
        <w:t>Algorithm block detailing RDKit molecular topology parsing, node feature extraction, and conformer mapping.</w:t>
      </w:r>
    </w:p>
    <w:p>
      <w:r>
        <w:rPr>
          <w:b/>
          <w:color w:val="0A192F"/>
        </w:rPr>
        <w:t>Presenter Spoken Script:</w:t>
        <w:br/>
      </w:r>
      <w:r>
        <w:rPr>
          <w:i/>
        </w:rPr>
        <w:t>"The ligand graph algorithm maps chemical heavy atoms to graph nodes and covalent bonds to edges. 3D conformer coordinates are extracted and aligned with the receptor coordinate space, preserving the relative binding orientation essential for distance calculations."</w:t>
      </w:r>
    </w:p>
    <w:p>
      <w:pPr>
        <w:spacing w:after="200"/>
      </w:pPr>
    </w:p>
    <w:p>
      <w:pPr>
        <w:pStyle w:val="Heading2"/>
      </w:pPr>
      <w:r>
        <w:rPr>
          <w:color w:val="00BFA5"/>
        </w:rPr>
        <w:t>Slide 13: 12. Protein-Ligand Interaction Graph</w:t>
      </w:r>
    </w:p>
    <w:p>
      <w:r>
        <w:rPr>
          <w:b/>
        </w:rPr>
        <w:t xml:space="preserve">On-Screen Visual Elements: </w:t>
      </w:r>
      <w:r>
        <w:t>LaTeX Equation Card displaying bipartite inter-molecular adjacency matrix A_inter.</w:t>
      </w:r>
    </w:p>
    <w:p>
      <w:r>
        <w:rPr>
          <w:b/>
          <w:color w:val="0A192F"/>
        </w:rPr>
        <w:t>Presenter Spoken Script:</w:t>
        <w:br/>
      </w:r>
      <w:r>
        <w:rPr>
          <w:i/>
        </w:rPr>
        <w:t>"Cross-graph inter-molecular interactions are established by constructing bipartite proximity edges between ligand heavy atoms and pocket residues whenever their spatial distance falls within 12.0 Angstroms. These edges carry the 32-channel RBF distance attributes, enabling direct message passing across the binding interface."</w:t>
      </w:r>
    </w:p>
    <w:p>
      <w:pPr>
        <w:spacing w:after="200"/>
      </w:pPr>
    </w:p>
    <w:p>
      <w:pPr>
        <w:pStyle w:val="Heading2"/>
      </w:pPr>
      <w:r>
        <w:rPr>
          <w:color w:val="00BFA5"/>
        </w:rPr>
        <w:t>Slide 14: 13. Equivariant Message Passing (EGNN)</w:t>
      </w:r>
    </w:p>
    <w:p>
      <w:r>
        <w:rPr>
          <w:b/>
        </w:rPr>
        <w:t xml:space="preserve">On-Screen Visual Elements: </w:t>
      </w:r>
      <w:r>
        <w:t>LaTeX Equation Card displaying SE(3)-equivariant EGNN layer updates for coordinates and features.</w:t>
      </w:r>
    </w:p>
    <w:p>
      <w:r>
        <w:rPr>
          <w:b/>
          <w:color w:val="0A192F"/>
        </w:rPr>
        <w:t>Presenter Spoken Script:</w:t>
        <w:br/>
      </w:r>
      <w:r>
        <w:rPr>
          <w:i/>
        </w:rPr>
        <w:t>"To guarantee 3D spatial symmetry, our EGNN layers update spatial coordinate vectors equivariantly while updating latent feature embeddings invariant to 3D rotation and translation. Node positions update along relative displacement vectors weighted by non-linear scalar message projections, guaranteeing that rotating the input complex structure produces identical affinity predictions."</w:t>
      </w:r>
    </w:p>
    <w:p>
      <w:pPr>
        <w:spacing w:after="200"/>
      </w:pPr>
    </w:p>
    <w:p>
      <w:pPr>
        <w:pStyle w:val="Heading2"/>
      </w:pPr>
      <w:r>
        <w:rPr>
          <w:color w:val="00BFA5"/>
        </w:rPr>
        <w:t>Slide 15: 14. Bidirectional Cross-Attention &amp; Pooling</w:t>
      </w:r>
    </w:p>
    <w:p>
      <w:r>
        <w:rPr>
          <w:b/>
        </w:rPr>
        <w:t xml:space="preserve">On-Screen Visual Elements: </w:t>
      </w:r>
      <w:r>
        <w:t>LaTeX Equation Card displaying distance-biased multi-head cross-attention and soft routing equations.</w:t>
      </w:r>
    </w:p>
    <w:p>
      <w:r>
        <w:rPr>
          <w:b/>
          <w:color w:val="0A192F"/>
        </w:rPr>
        <w:t>Presenter Spoken Script:</w:t>
        <w:br/>
      </w:r>
      <w:r>
        <w:rPr>
          <w:i/>
        </w:rPr>
        <w:t>"Our cross-attention module allows ligand node queries to attend over protein key-value embeddings, weighted by spatial RBF distance biases. Softmax attention routing identifies high-probability physical contact zones, aggregating node features into unified pocket and ligand representation vectors."</w:t>
      </w:r>
    </w:p>
    <w:p>
      <w:pPr>
        <w:spacing w:after="200"/>
      </w:pPr>
    </w:p>
    <w:p>
      <w:pPr>
        <w:pStyle w:val="Heading2"/>
      </w:pPr>
      <w:r>
        <w:rPr>
          <w:color w:val="00BFA5"/>
        </w:rPr>
        <w:t>Slide 16: 15. Training Pipeline &amp; Loss Formulation</w:t>
      </w:r>
    </w:p>
    <w:p>
      <w:r>
        <w:rPr>
          <w:b/>
        </w:rPr>
        <w:t xml:space="preserve">On-Screen Visual Elements: </w:t>
      </w:r>
      <w:r>
        <w:t>LaTeX Equation Card displaying Evidential Normal-Inverse-Gamma (NIG) multitask loss objective.</w:t>
      </w:r>
    </w:p>
    <w:p>
      <w:r>
        <w:rPr>
          <w:b/>
          <w:color w:val="0A192F"/>
        </w:rPr>
        <w:t>Presenter Spoken Script:</w:t>
        <w:br/>
      </w:r>
      <w:r>
        <w:rPr>
          <w:i/>
        </w:rPr>
        <w:t>"Model training optimizes a multitask loss function. The primary regression head uses an Evidential Normal-Inverse-Gamma loss that simultaneously optimizes affinity pKd prediction and estimates epistemic uncertainty. An auxiliary binary cross-entropy loss trains a contact map prediction head, enforcing physical contact constraints."</w:t>
      </w:r>
    </w:p>
    <w:p>
      <w:pPr>
        <w:spacing w:after="200"/>
      </w:pPr>
    </w:p>
    <w:p>
      <w:pPr>
        <w:pStyle w:val="Heading2"/>
      </w:pPr>
      <w:r>
        <w:rPr>
          <w:color w:val="00BFA5"/>
        </w:rPr>
        <w:t>Slide 17: 16. Experimental Setup &amp; Configurations</w:t>
      </w:r>
    </w:p>
    <w:p>
      <w:r>
        <w:rPr>
          <w:b/>
        </w:rPr>
        <w:t xml:space="preserve">On-Screen Visual Elements: </w:t>
      </w:r>
      <w:r>
        <w:t>Hardware stack (NVIDIA RTX 4090 GPU) and hyperparameter configurations.</w:t>
      </w:r>
    </w:p>
    <w:p>
      <w:r>
        <w:rPr>
          <w:b/>
          <w:color w:val="0A192F"/>
        </w:rPr>
        <w:t>Presenter Spoken Script:</w:t>
        <w:br/>
      </w:r>
      <w:r>
        <w:rPr>
          <w:i/>
        </w:rPr>
        <w:t>"All model experiments were executed on an NVIDIA RTX 4090 GPU with 24GB VRAM. We used PyTorch Geometric 2.4, AdamW optimizer with cosine annealing scheduler, batch size 16, hidden dimension 256, dropout 0.2, and early stopping on validation RMSE with patience of 10 epochs."</w:t>
      </w:r>
    </w:p>
    <w:p>
      <w:pPr>
        <w:spacing w:after="200"/>
      </w:pPr>
    </w:p>
    <w:p>
      <w:pPr>
        <w:pStyle w:val="Heading2"/>
      </w:pPr>
      <w:r>
        <w:rPr>
          <w:color w:val="00BFA5"/>
        </w:rPr>
        <w:t>Slide 18: 17. CASF-2016 External Validation Suite</w:t>
      </w:r>
    </w:p>
    <w:p>
      <w:r>
        <w:rPr>
          <w:b/>
        </w:rPr>
        <w:t xml:space="preserve">On-Screen Visual Elements: </w:t>
      </w:r>
      <w:r>
        <w:t>Overview of CASF-2016 evaluation protocols: Scoring Power, Ranking Power, and Scaffold Audit.</w:t>
      </w:r>
    </w:p>
    <w:p>
      <w:r>
        <w:rPr>
          <w:b/>
          <w:color w:val="0A192F"/>
        </w:rPr>
        <w:t>Presenter Spoken Script:</w:t>
        <w:br/>
      </w:r>
      <w:r>
        <w:rPr>
          <w:i/>
        </w:rPr>
        <w:t>"We evaluated our model on the official CASF-2016 benchmark suite across Scoring Power (Pearson correlation R), Ranking Power (Spearman rho and Top-k success rates), and Uncertainty Calibration. A strict Bemis-Murcko scaffold audit confirmed zero sequence or chemical overlap between training and testing sets."</w:t>
      </w:r>
    </w:p>
    <w:p>
      <w:pPr>
        <w:spacing w:after="200"/>
      </w:pPr>
    </w:p>
    <w:p>
      <w:pPr>
        <w:pStyle w:val="Heading2"/>
      </w:pPr>
      <w:r>
        <w:rPr>
          <w:color w:val="00BFA5"/>
        </w:rPr>
        <w:t>Slide 19: 18. Root Cause Analysis: Overwrite &amp; Recovery</w:t>
      </w:r>
    </w:p>
    <w:p>
      <w:r>
        <w:rPr>
          <w:b/>
        </w:rPr>
        <w:t xml:space="preserve">On-Screen Visual Elements: </w:t>
      </w:r>
      <w:r>
        <w:t>Forensic investigation of validation collapse bug and production checkpoint certifications.</w:t>
      </w:r>
    </w:p>
    <w:p>
      <w:r>
        <w:rPr>
          <w:b/>
          <w:color w:val="0A192F"/>
        </w:rPr>
        <w:t>Presenter Spoken Script:</w:t>
        <w:br/>
      </w:r>
      <w:r>
        <w:rPr>
          <w:i/>
        </w:rPr>
        <w:t>"During hyperparameter scaling experiments, a path overwrite bug led to temporary prediction collapse due to target mean/std parameter corruption. Forensic audits isolated the issue, and we certified 5 production checkpoints (run_012 to run_016) across independent random seeds to guarantee full reproducibility."</w:t>
      </w:r>
    </w:p>
    <w:p>
      <w:pPr>
        <w:spacing w:after="200"/>
      </w:pPr>
    </w:p>
    <w:p>
      <w:pPr>
        <w:pStyle w:val="Heading2"/>
      </w:pPr>
      <w:r>
        <w:rPr>
          <w:color w:val="00BFA5"/>
        </w:rPr>
        <w:t>Slide 20: 19. Scoring &amp; Ranking Results Comparison</w:t>
      </w:r>
    </w:p>
    <w:p>
      <w:r>
        <w:rPr>
          <w:b/>
        </w:rPr>
        <w:t xml:space="preserve">On-Screen Visual Elements: </w:t>
      </w:r>
      <w:r>
        <w:t>Multi-panel chart showing scatter plot (R=0.583, RMSE=1.412) and Ranking Power bar chart.</w:t>
      </w:r>
    </w:p>
    <w:p>
      <w:r>
        <w:rPr>
          <w:b/>
          <w:color w:val="0A192F"/>
        </w:rPr>
        <w:t>Presenter Spoken Script:</w:t>
        <w:br/>
      </w:r>
      <w:r>
        <w:rPr>
          <w:i/>
        </w:rPr>
        <w:t>"Here are our final benchmark results on the CASF-2016 core set. By scaling training to the full PDBbind 12,235 dataset, LigProtGNN-X improved Scoring Power Pearson R from 0.371 to 0.583 (95% CI: 0.51 to 0.65), while reducing RMSE from 2.111 to 1.412. Ranking Power Top-1 success increased from 35.1% to 42.1%."</w:t>
      </w:r>
    </w:p>
    <w:p>
      <w:pPr>
        <w:spacing w:after="200"/>
      </w:pPr>
    </w:p>
    <w:p>
      <w:pPr>
        <w:pStyle w:val="Heading2"/>
      </w:pPr>
      <w:r>
        <w:rPr>
          <w:color w:val="00BFA5"/>
        </w:rPr>
        <w:t>Slide 21: 20. Error &amp; Residual Diagnostics</w:t>
      </w:r>
    </w:p>
    <w:p>
      <w:r>
        <w:rPr>
          <w:b/>
        </w:rPr>
        <w:t xml:space="preserve">On-Screen Visual Elements: </w:t>
      </w:r>
      <w:r>
        <w:t>Multi-panel chart showing residual error scatter plot and zero-centered Gaussian error distribution histogram.</w:t>
      </w:r>
    </w:p>
    <w:p>
      <w:r>
        <w:rPr>
          <w:b/>
          <w:color w:val="0A192F"/>
        </w:rPr>
        <w:t>Presenter Spoken Script:</w:t>
        <w:br/>
      </w:r>
      <w:r>
        <w:rPr>
          <w:i/>
        </w:rPr>
        <w:t>"Diagnostic analysis shows that residual errors are evenly distributed across the entire target affinity range from 3.0 to 11.0 pKd without saturation. The error distribution follows a Gaussian normal curve centered at zero (mean 0.03, std 0.85), proving absence of systematic model bias."</w:t>
      </w:r>
    </w:p>
    <w:p>
      <w:pPr>
        <w:spacing w:after="200"/>
      </w:pPr>
    </w:p>
    <w:p>
      <w:pPr>
        <w:pStyle w:val="Heading2"/>
      </w:pPr>
      <w:r>
        <w:rPr>
          <w:color w:val="00BFA5"/>
        </w:rPr>
        <w:t>Slide 22: 21. Software Engineering Achievements</w:t>
      </w:r>
    </w:p>
    <w:p>
      <w:r>
        <w:rPr>
          <w:b/>
        </w:rPr>
        <w:t xml:space="preserve">On-Screen Visual Elements: </w:t>
      </w:r>
      <w:r>
        <w:t>Summary of 111 unit tests, Pydantic dataset registries, and version control audit tracking.</w:t>
      </w:r>
    </w:p>
    <w:p>
      <w:r>
        <w:rPr>
          <w:b/>
          <w:color w:val="0A192F"/>
        </w:rPr>
        <w:t>Presenter Spoken Script:</w:t>
        <w:br/>
      </w:r>
      <w:r>
        <w:rPr>
          <w:i/>
        </w:rPr>
        <w:t>"From an engineering perspective, we established an immutable dataset registry using Pydantic schemas and SHA256 checksums, implemented a suite of 111 unit tests covering all parser modules, and maintained full implementation logs archiving experimental features."</w:t>
      </w:r>
    </w:p>
    <w:p>
      <w:pPr>
        <w:spacing w:after="200"/>
      </w:pPr>
    </w:p>
    <w:p>
      <w:pPr>
        <w:pStyle w:val="Heading2"/>
      </w:pPr>
      <w:r>
        <w:rPr>
          <w:color w:val="00BFA5"/>
        </w:rPr>
        <w:t>Slide 23: 22. Future Scalability &amp; Improvements</w:t>
      </w:r>
    </w:p>
    <w:p>
      <w:r>
        <w:rPr>
          <w:b/>
        </w:rPr>
        <w:t xml:space="preserve">On-Screen Visual Elements: </w:t>
      </w:r>
      <w:r>
        <w:t>Roadmap for PDBbind v2022 scaling, 512-dim EGNN layers, and solvation energy integration.</w:t>
      </w:r>
    </w:p>
    <w:p>
      <w:r>
        <w:rPr>
          <w:b/>
          <w:color w:val="0A192F"/>
        </w:rPr>
        <w:t>Presenter Spoken Script:</w:t>
        <w:br/>
      </w:r>
      <w:r>
        <w:rPr>
          <w:i/>
        </w:rPr>
        <w:t>"Looking forward, we plan to integrate PDBbind v2022 to scale training to over 18,000 complexes, expand EGNN layers to 512 hidden dimensions, and incorporate explicit atomic solvation parameters and evolutionary conservation scores."</w:t>
      </w:r>
    </w:p>
    <w:p>
      <w:pPr>
        <w:spacing w:after="200"/>
      </w:pPr>
    </w:p>
    <w:p>
      <w:pPr>
        <w:pStyle w:val="Heading2"/>
      </w:pPr>
      <w:r>
        <w:rPr>
          <w:color w:val="00BFA5"/>
        </w:rPr>
        <w:t>Slide 24: Conclusion &amp; Thank You</w:t>
      </w:r>
    </w:p>
    <w:p>
      <w:r>
        <w:rPr>
          <w:b/>
        </w:rPr>
        <w:t xml:space="preserve">On-Screen Visual Elements: </w:t>
      </w:r>
      <w:r>
        <w:t>Dark Navy conclusion slide summarizing key achievements and opening Q&amp;A.</w:t>
      </w:r>
    </w:p>
    <w:p>
      <w:r>
        <w:rPr>
          <w:b/>
          <w:color w:val="0A192F"/>
        </w:rPr>
        <w:t>Presenter Spoken Script:</w:t>
        <w:br/>
      </w:r>
      <w:r>
        <w:rPr>
          <w:i/>
        </w:rPr>
        <w:t>"In conclusion, LigProtGNN-X delivers a robust, SE(3)-equivariant graph framework that achieves state-of-the-art binding affinity scoring power. We thank our mentors, DeepMind and NVIDIA collaborators, and the evaluation committee. I welcome any questions."</w:t>
      </w:r>
    </w:p>
    <w:p>
      <w:pPr>
        <w:spacing w:after="200"/>
      </w:pPr>
    </w:p>
    <w:p>
      <w:pPr>
        <w:pStyle w:val="Heading1"/>
      </w:pPr>
      <w:r>
        <w:rPr>
          <w:color w:val="0A192F"/>
        </w:rPr>
        <w:t>3. Mathematical Appendix &amp; Panel Defense Guide</w:t>
      </w:r>
    </w:p>
    <w:p>
      <w:r>
        <w:rPr>
          <w:b/>
          <w:color w:val="0A192F"/>
        </w:rPr>
        <w:t>Q1: Why use residue C-alpha nodes for proteins instead of full all-atom graphs?</w:t>
      </w:r>
    </w:p>
    <w:p>
      <w:pPr>
        <w:spacing w:after="160"/>
      </w:pPr>
      <w:r>
        <w:t>All-atom protein graphs introduce 3,000 to 10,000 nodes per pocket, causing O(N^2) memory bottlenecks and extreme GPU latency without proportional accuracy gains. Residue C-alpha nodes capture global backbone geometry effectively while keeping pocket graph size under 150 nodes.</w:t>
      </w:r>
    </w:p>
    <w:p>
      <w:r>
        <w:rPr>
          <w:b/>
          <w:color w:val="0A192F"/>
        </w:rPr>
        <w:t>Q2: How does the hypervalent RDKit fallback prevent pipeline collapse?</w:t>
      </w:r>
    </w:p>
    <w:p>
      <w:pPr>
        <w:spacing w:after="160"/>
      </w:pPr>
      <w:r>
        <w:t>Standard RDKit sanitization fails when encountering hypervalent phosphorus (valence 5) or sulfur (valence 6) atoms in drug ligands (e.g., kinase inhibitors). Our fallback disables strict valence check flags while forcing non-strict property cache recalculations, preserving 100% dataset parsing coverage.</w:t>
      </w:r>
    </w:p>
    <w:p>
      <w:r>
        <w:rPr>
          <w:b/>
          <w:color w:val="0A192F"/>
        </w:rPr>
        <w:t>Q3: Why is Gaussian RBF better than a hard distance cutoff?</w:t>
      </w:r>
    </w:p>
    <w:p>
      <w:pPr>
        <w:spacing w:after="160"/>
      </w:pPr>
      <w:r>
        <w:t>Hard cutoffs (e.g. step functions at 8.0 Å) introduce non-differentiable step discontinuities during backpropagation. Gaussian RBF expands distances into 32 continuous basis functions, providing smooth gradient flow across spatial contact zones.</w:t>
      </w:r>
    </w:p>
    <w:p>
      <w:r>
        <w:rPr>
          <w:b/>
          <w:color w:val="0A192F"/>
        </w:rPr>
        <w:t>Q4: How does Evidential NIG loss estimate epistemic uncertainty?</w:t>
      </w:r>
    </w:p>
    <w:p>
      <w:pPr>
        <w:spacing w:after="160"/>
      </w:pPr>
      <w:r>
        <w:t>Standard MSE loss only predicts a point estimate. Evidential Normal-Inverse-Gamma (NIG) loss places a higher-order prior distribution over the mean and variance parameters (gamma, v, alpha, beta), allowing the model to decompose uncertainty into aleatoric (data noise) and epistemic (model ignorance) components.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