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11827"/>
        </w:rPr>
        <w:t xml:space="preserve">Investment Committee Memo — [Company] ([Ticker])</w:t>
      </w:r>
    </w:p>
    <w:p>
      <w:pPr>
        <w:pBdr>
          <w:bottom w:val="single" w:color="2563EB" w:sz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Buy-side template · ONE page when done · this is Module 12.5's memo with crores attached</w:t>
      </w:r>
    </w:p>
    <w:p>
      <w:pPr>
        <w:pStyle w:val="Heading1"/>
        <w:spacing w:after="100" w:before="280"/>
      </w:pPr>
      <w:r>
        <w:rPr>
          <w:color w:val="2563EB"/>
        </w:rPr>
        <w:t xml:space="preserve">Recommendation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Action + size + target + confidence, one sentence. 'BUY 2.5% position; 18-month target ₹X (+34%); we'd be surprised outside ₹A–₹B.'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Thesis (three sentences max)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What we believe that the market doesn't · why that gap exists · what will close it.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Three supporting findings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Each one line + the exhibit it points to. Findings, not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1.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2.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3. </w:t>
      </w:r>
    </w:p>
    <w:p>
      <w:pPr>
        <w:pStyle w:val="Heading1"/>
        <w:spacing w:after="100" w:before="280"/>
      </w:pPr>
      <w:r>
        <w:rPr>
          <w:color w:val="2563EB"/>
        </w:rPr>
        <w:t xml:space="preserve">Valuation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Method, key assumptions (the load-bearing one NAMED), and the range with a spine: 'surprised outside…'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Pre-mortem — what kills this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The two most plausible failure modes, and the EVIDENCE that would make us exit. Write the exit trigger before you own the stock.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Kill risk 1 → exit trigger: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Kill risk 2 → exit trigger: </w:t>
      </w:r>
    </w:p>
    <w:p>
      <w:pPr>
        <w:pStyle w:val="Heading1"/>
        <w:spacing w:after="100" w:before="280"/>
      </w:pPr>
      <w:r>
        <w:rPr>
          <w:color w:val="2563EB"/>
        </w:rPr>
        <w:t xml:space="preserve">Position &amp; risk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Size, liquidity (days to exit), correlation with current book, mandate limits touched.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pStyle w:val="Heading1"/>
        <w:spacing w:after="100" w:before="280"/>
      </w:pPr>
      <w:r>
        <w:rPr>
          <w:color w:val="2563EB"/>
        </w:rPr>
        <w:t xml:space="preserve">The ask</w:t>
      </w:r>
    </w:p>
    <w:p>
      <w:pPr>
        <w:spacing w:after="80"/>
      </w:pPr>
      <w:r>
        <w:rPr>
          <w:i/>
          <w:iCs/>
          <w:color w:val="6B7280"/>
          <w:sz w:val="18"/>
          <w:szCs w:val="18"/>
        </w:rPr>
        <w:t xml:space="preserve">Guidance: The specific decision requested, with a date.</w:t>
      </w:r>
    </w:p>
    <w:p>
      <w:pPr>
        <w:pBdr>
          <w:bottom w:val="single" w:color="C9CFDB" w:sz="4"/>
        </w:pBdr>
        <w:spacing w:after="160"/>
      </w:pPr>
      <w:r>
        <w:rPr>
          <w:sz w:val="22"/>
          <w:szCs w:val="22"/>
        </w:rPr>
        <w:t xml:space="preserve"> </w:t>
      </w:r>
    </w:p>
    <w:p>
      <w:pPr>
        <w:shd w:fill="EFF3FE" w:val="clear"/>
        <w:spacing w:after="160" w:before="60"/>
      </w:pPr>
      <w:r>
        <w:rPr>
          <w:b/>
          <w:bCs/>
          <w:color w:val="2563EB"/>
          <w:sz w:val="18"/>
          <w:szCs w:val="18"/>
        </w:rPr>
        <w:t xml:space="preserve">Course example: </w:t>
      </w:r>
      <w:r>
        <w:rPr>
          <w:color w:val="111827"/>
          <w:sz w:val="18"/>
          <w:szCs w:val="18"/>
        </w:rPr>
        <w:t xml:space="preserve">Capstone Track A presented in this format IS a buy-side interview audition. The four-sentence thesis is the hardest box — draft it first.</w:t>
      </w:r>
    </w:p>
    <w:p>
      <w:pPr>
        <w:spacing w:before="300"/>
      </w:pPr>
      <w:r>
        <w:rPr>
          <w:i/>
          <w:iCs/>
          <w:color w:val="6B7280"/>
          <w:sz w:val="16"/>
          <w:szCs w:val="16"/>
        </w:rPr>
        <w:t xml:space="preserve">Financial Analytics Course · Appendix D working template · financial-analytics-course.vercel.app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2026-09-09T06:06:29.128Z</dcterms:created>
  <dcterms:modified xsi:type="dcterms:W3CDTF">2026-09-09T06:06:29.128Z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