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11827"/>
        </w:rPr>
        <w:t xml:space="preserve">Credit Rating Rationale — [Issuer]</w:t>
      </w:r>
    </w:p>
    <w:p>
      <w:pPr>
        <w:pBdr>
          <w:bottom w:val="single" w:color="2563EB" w:sz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Credit template · grade first, drivers second, triggers third · solvency and liquidity are different deaths</w:t>
      </w:r>
    </w:p>
    <w:p>
      <w:pPr>
        <w:pStyle w:val="Heading1"/>
        <w:spacing w:after="100" w:before="280"/>
      </w:pPr>
      <w:r>
        <w:rPr>
          <w:color w:val="2563EB"/>
        </w:rPr>
        <w:t xml:space="preserve">The grade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Letter grade + outlook + one-line basis. 'AA- / Stable: market leadership and 2.8x coverage, tempered by FY28 refinancing concentration.'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Business risk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Industry cyclicality · competitive position · customer concentration (any customer &gt;20%?) · regulatory exposure · GROUP structure (the Indian unit of risk).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Financial risk — the ratio engine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Three years minimum. The canon: Debt/EBITDA, EBITDA/Interest (coverage — the most watched), Debt/Equity, CFO vs debt due.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shd w:fill="EFF3FE" w:val="clear"/>
        <w:spacing w:after="160" w:before="60"/>
      </w:pPr>
      <w:r>
        <w:rPr>
          <w:b/>
          <w:bCs/>
          <w:color w:val="2563EB"/>
          <w:sz w:val="18"/>
          <w:szCs w:val="18"/>
        </w:rPr>
        <w:t xml:space="preserve">Course example: </w:t>
      </w:r>
      <w:r>
        <w:rPr>
          <w:color w:val="111827"/>
          <w:sz w:val="18"/>
          <w:szCs w:val="18"/>
        </w:rPr>
        <w:t xml:space="preserve">Compute from company_financials.csv: MoneyMart's Debt/EBITDA and coverage per year. Compare FY20-21's numbers vs FY24-25's — that comparison IS surveillance.</w:t>
      </w:r>
    </w:p>
    <w:p>
      <w:pPr>
        <w:pStyle w:val="Heading1"/>
        <w:spacing w:after="100" w:before="280"/>
      </w:pPr>
      <w:r>
        <w:rPr>
          <w:color w:val="2563EB"/>
        </w:rPr>
        <w:t xml:space="preserve">Liquidity — the killer category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The maturity ladder: what falls due in the next 12 / 24 / 36 months, against cash + committed lines. IL&amp;FS died here, not in the ratios above.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Projections under punishment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Management case vs YOUR stress case (revenue haircut, margin squeeze, refinancing +200bps). Does coverage stay above 1 in the bad-but-plausible world?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Key drivers (exactly three)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1.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2.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3. </w:t>
      </w:r>
    </w:p>
    <w:p>
      <w:pPr>
        <w:pStyle w:val="Heading1"/>
        <w:spacing w:after="100" w:before="280"/>
      </w:pPr>
      <w:r>
        <w:rPr>
          <w:color w:val="2563EB"/>
        </w:rPr>
        <w:t xml:space="preserve">Triggers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Downgrade trigger: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Upgrade trigger: </w:t>
      </w:r>
    </w:p>
    <w:p>
      <w:pPr>
        <w:pStyle w:val="Heading1"/>
        <w:spacing w:after="100" w:before="280"/>
      </w:pPr>
      <w:r>
        <w:rPr>
          <w:color w:val="2563EB"/>
        </w:rPr>
        <w:t xml:space="preserve">Surveillance notes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What to watch quarterly, and the covenant levels.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spacing w:before="300"/>
      </w:pPr>
      <w:r>
        <w:rPr>
          <w:i/>
          <w:iCs/>
          <w:color w:val="6B7280"/>
          <w:sz w:val="16"/>
          <w:szCs w:val="16"/>
        </w:rPr>
        <w:t xml:space="preserve">Financial Analytics Course · Appendix D working template · financial-analytics-course.vercel.app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2026-09-09T06:06:29.144Z</dcterms:created>
  <dcterms:modified xsi:type="dcterms:W3CDTF">2026-09-09T06:06:29.145Z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