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Review meeting with Robert and Jean Fletcher, held 16 May 2026.</w:t>
      </w:r>
    </w:p>
    <w:p>
      <w:r>
        <w:t>I started by acknowledging that Jean's mother had passed away earlier in the spring. Jean is doing as well as can be expected and was grateful for the flowers the office had sent.</w:t>
      </w:r>
    </w:p>
    <w:p>
      <w:r>
        <w:t>Jean has received an inheritance of around £120,000 from her late mother's estate, which has now cleared. The couple would like to put this to work alongside their existing portfolio.</w:t>
      </w:r>
    </w:p>
    <w:p>
      <w:r>
        <w:t>Their objectives are unchanged from the last review: long-term growth, with no income required from the portfolio for the foreseeable future. Both remain at a moderate risk level and were comfortable keeping it there.</w:t>
      </w:r>
    </w:p>
    <w:p>
      <w:r>
        <w:t>We talked about their grandchildren and a trip they have planned later in the year; nothing there changes the advice.</w:t>
      </w:r>
    </w:p>
    <w:p>
      <w:r>
        <w:t>We looked at the jointly-held General Investment Account on the Holloway platform. Pulling it up during the meeting, it was showing around £38,000, a little higher than the figure on the last statement they had to hand.</w:t>
      </w:r>
    </w:p>
    <w:p>
      <w:r>
        <w:t>The plan we agreed: disinvest the joint GIA, and together with the inheritance, fund both Robert's and Jean's ISAs for the new tax year and open a new jointly-held investment account for the balance.</w:t>
      </w:r>
    </w:p>
    <w:p>
      <w:r>
        <w:t>Selling down the GIA is a disposal, so there is a capital gains position to set out in the report.</w:t>
      </w:r>
    </w:p>
    <w:p>
      <w:r>
        <w:t>Jean mentioned in passing that she has another small cash account from some years ago, but she could not recall the balance and was not even sure it was still active. She will dig out the paperwork and we will confirm it before anything is finalised.</w:t>
      </w:r>
    </w:p>
    <w:p>
      <w:r>
        <w:t>Robert asked about the charges on the new joint account; I said the report would set those out once verified.</w:t>
      </w:r>
    </w:p>
    <w:p>
      <w:r>
        <w:t>Next steps: prepare the advice report covering both ISAs, the joint GIA and the new joint account, handle the inheritance sensitively, and confirm the outstanding cash balance.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