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ISAs (James and Caroline), Brightwell SIPPs (James and Caroline), the joint GIAs (Holloway and Brightwell), the Meridian offshore bond, plus a new joint account for the proceeds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Proceeds from the recent business sale (see meeting notes)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Proceeds from the sale of the client's business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 (partial rebalance of the Holloway joint GIA)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and SIPP top-ups, contribution to the joint GIA, and a new joint investment account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Joint clients; a mix of individual and joint accounts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(balanced to 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