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B9338" w14:textId="77777777" w:rsidR="00601C98" w:rsidRPr="00601C98" w:rsidRDefault="00601C98" w:rsidP="00601C98">
      <w:pPr>
        <w:spacing w:line="240" w:lineRule="auto"/>
        <w:jc w:val="center"/>
        <w:rPr>
          <w:b/>
          <w:bCs/>
          <w:sz w:val="36"/>
          <w:szCs w:val="36"/>
        </w:rPr>
      </w:pPr>
      <w:r w:rsidRPr="00601C98">
        <w:rPr>
          <w:b/>
          <w:bCs/>
          <w:sz w:val="36"/>
          <w:szCs w:val="36"/>
        </w:rPr>
        <w:t>WEEK 2 TASK</w:t>
      </w:r>
    </w:p>
    <w:p w14:paraId="3C3BC83A" w14:textId="34B52828" w:rsidR="00122C90" w:rsidRPr="00601C98" w:rsidRDefault="00601C98" w:rsidP="00601C98">
      <w:pPr>
        <w:spacing w:line="240" w:lineRule="auto"/>
        <w:jc w:val="center"/>
        <w:rPr>
          <w:b/>
          <w:bCs/>
          <w:sz w:val="28"/>
          <w:szCs w:val="28"/>
        </w:rPr>
      </w:pPr>
      <w:r w:rsidRPr="00601C98">
        <w:rPr>
          <w:b/>
          <w:bCs/>
          <w:sz w:val="28"/>
          <w:szCs w:val="28"/>
        </w:rPr>
        <w:t>Data Visualization and Reporting in Agribusiness</w:t>
      </w:r>
    </w:p>
    <w:p w14:paraId="26431BBD" w14:textId="77777777" w:rsidR="00601C98" w:rsidRPr="00601C98" w:rsidRDefault="00601C98" w:rsidP="00601C98">
      <w:pPr>
        <w:spacing w:line="240" w:lineRule="auto"/>
        <w:rPr>
          <w:b/>
          <w:bCs/>
          <w:sz w:val="20"/>
          <w:szCs w:val="20"/>
        </w:rPr>
      </w:pPr>
      <w:r w:rsidRPr="00601C98">
        <w:rPr>
          <w:b/>
          <w:bCs/>
          <w:sz w:val="20"/>
          <w:szCs w:val="20"/>
        </w:rPr>
        <w:t>Dataset</w:t>
      </w:r>
      <w:r w:rsidRPr="00601C98">
        <w:rPr>
          <w:sz w:val="20"/>
          <w:szCs w:val="20"/>
        </w:rPr>
        <w:t>: Agribusiness_Data_Cleaning.xlsx</w:t>
      </w:r>
    </w:p>
    <w:p w14:paraId="4BB7BCD6" w14:textId="77777777" w:rsidR="00601C98" w:rsidRDefault="00601C98" w:rsidP="00601C98">
      <w:pPr>
        <w:spacing w:line="240" w:lineRule="auto"/>
        <w:rPr>
          <w:b/>
          <w:bCs/>
          <w:sz w:val="20"/>
          <w:szCs w:val="20"/>
        </w:rPr>
      </w:pPr>
      <w:r w:rsidRPr="00601C98">
        <w:rPr>
          <w:b/>
          <w:bCs/>
          <w:sz w:val="20"/>
          <w:szCs w:val="20"/>
        </w:rPr>
        <w:t xml:space="preserve">Internship: </w:t>
      </w:r>
      <w:r w:rsidRPr="00601C98">
        <w:rPr>
          <w:sz w:val="20"/>
          <w:szCs w:val="20"/>
        </w:rPr>
        <w:t>Agribusiness Data Analytics Internship</w:t>
      </w:r>
    </w:p>
    <w:p w14:paraId="1CD95A4E" w14:textId="4CF83E1F" w:rsidR="00601C98" w:rsidRPr="00601C98" w:rsidRDefault="00601C98" w:rsidP="00601C98">
      <w:pPr>
        <w:spacing w:line="240" w:lineRule="auto"/>
        <w:rPr>
          <w:sz w:val="20"/>
          <w:szCs w:val="20"/>
        </w:rPr>
      </w:pPr>
      <w:r>
        <w:rPr>
          <w:b/>
          <w:bCs/>
          <w:sz w:val="20"/>
          <w:szCs w:val="20"/>
        </w:rPr>
        <w:t xml:space="preserve">1. </w:t>
      </w:r>
      <w:r w:rsidRPr="00601C98">
        <w:rPr>
          <w:b/>
          <w:bCs/>
          <w:sz w:val="20"/>
          <w:szCs w:val="20"/>
        </w:rPr>
        <w:t xml:space="preserve">Objective :  </w:t>
      </w:r>
      <w:r w:rsidRPr="00601C98">
        <w:rPr>
          <w:sz w:val="20"/>
          <w:szCs w:val="20"/>
        </w:rPr>
        <w:t>The objective of this task is to develop a clear and effective plan for visualizing agribusiness data using appropriate charts, graphs, and tables. The analysis will focus on agricultural production data from the cleaned dataset, with the aim of identifying trends, comparing different crops, and presenting important insights in an easy-to-understand format. Appropriate visualization techniques will be selected based on the type of data and the analytical questions being addressed. The report will also consider data quality, clarity, consistency, and effective communication of results.</w:t>
      </w:r>
    </w:p>
    <w:p w14:paraId="596A3402" w14:textId="2949B00D" w:rsidR="00601C98" w:rsidRPr="00601C98" w:rsidRDefault="00601C98" w:rsidP="00601C98">
      <w:pPr>
        <w:spacing w:line="240" w:lineRule="auto"/>
        <w:rPr>
          <w:b/>
          <w:bCs/>
          <w:sz w:val="20"/>
          <w:szCs w:val="20"/>
        </w:rPr>
      </w:pPr>
      <w:r>
        <w:rPr>
          <w:b/>
          <w:bCs/>
          <w:sz w:val="20"/>
          <w:szCs w:val="20"/>
        </w:rPr>
        <w:t xml:space="preserve">2. </w:t>
      </w:r>
      <w:r w:rsidRPr="00601C98">
        <w:rPr>
          <w:b/>
          <w:bCs/>
          <w:sz w:val="20"/>
          <w:szCs w:val="20"/>
        </w:rPr>
        <w:t>Agribusiness Metrics to Visualize</w:t>
      </w:r>
      <w:r>
        <w:rPr>
          <w:b/>
          <w:bCs/>
          <w:sz w:val="20"/>
          <w:szCs w:val="20"/>
        </w:rPr>
        <w:t xml:space="preserve"> : </w:t>
      </w:r>
      <w:r w:rsidRPr="00601C98">
        <w:rPr>
          <w:sz w:val="20"/>
          <w:szCs w:val="20"/>
        </w:rPr>
        <w:t>The main metrics selected for visualization are agricultural production quantities across different crops and years. The dataset includes major food grains such as rice, jowar, bajra, maize, ragi, small millets, wheat, and barley. These metrics will be used to compare crop production, identify yearly trends, and understand changes in agricultural output over time. The analysis will focus on comparing production levels between crops and observing increases or decreases across the available years. These metrics are useful for understanding production patterns and supporting data-driven decision-making in agribusiness.</w:t>
      </w:r>
    </w:p>
    <w:p w14:paraId="661ECDF0" w14:textId="77777777" w:rsidR="00601C98" w:rsidRPr="00601C98" w:rsidRDefault="00601C98" w:rsidP="00601C98">
      <w:pPr>
        <w:spacing w:line="240" w:lineRule="auto"/>
        <w:rPr>
          <w:sz w:val="20"/>
          <w:szCs w:val="20"/>
        </w:rPr>
      </w:pPr>
      <w:r>
        <w:rPr>
          <w:b/>
          <w:bCs/>
          <w:sz w:val="20"/>
          <w:szCs w:val="20"/>
        </w:rPr>
        <w:t xml:space="preserve">3. </w:t>
      </w:r>
      <w:r w:rsidRPr="00601C98">
        <w:rPr>
          <w:b/>
          <w:bCs/>
          <w:sz w:val="20"/>
          <w:szCs w:val="20"/>
        </w:rPr>
        <w:t>Recommended Visualization Techniques</w:t>
      </w:r>
      <w:r>
        <w:rPr>
          <w:b/>
          <w:bCs/>
          <w:sz w:val="20"/>
          <w:szCs w:val="20"/>
        </w:rPr>
        <w:t xml:space="preserve"> </w:t>
      </w:r>
      <w:r w:rsidRPr="00601C98">
        <w:rPr>
          <w:sz w:val="20"/>
          <w:szCs w:val="20"/>
        </w:rPr>
        <w:t>: The following visualization techniques will be used to present the agribusiness data effectively:</w:t>
      </w:r>
    </w:p>
    <w:p w14:paraId="46CF6334" w14:textId="1A8AD672" w:rsidR="00601C98" w:rsidRDefault="00601C98" w:rsidP="00601C98">
      <w:pPr>
        <w:spacing w:line="240" w:lineRule="auto"/>
        <w:rPr>
          <w:sz w:val="20"/>
          <w:szCs w:val="20"/>
        </w:rPr>
      </w:pPr>
      <w:r w:rsidRPr="00601C98">
        <w:rPr>
          <w:sz w:val="20"/>
          <w:szCs w:val="20"/>
        </w:rPr>
        <w:t xml:space="preserve">1. </w:t>
      </w:r>
      <w:r w:rsidRPr="00B34AEB">
        <w:rPr>
          <w:b/>
          <w:bCs/>
          <w:sz w:val="20"/>
          <w:szCs w:val="20"/>
        </w:rPr>
        <w:t>Line Chart</w:t>
      </w:r>
      <w:r w:rsidRPr="00601C98">
        <w:rPr>
          <w:sz w:val="20"/>
          <w:szCs w:val="20"/>
        </w:rPr>
        <w:t>: A line chart will be used to show changes in crop production over the years. It will help identify increasing, decreasing, and fluctuating production trends.</w:t>
      </w:r>
      <w:r w:rsidR="00B34AEB" w:rsidRPr="00B34AEB">
        <w:rPr>
          <w:noProof/>
        </w:rPr>
        <w:t xml:space="preserve"> </w:t>
      </w:r>
      <w:r w:rsidR="00B34AEB">
        <w:rPr>
          <w:noProof/>
        </w:rPr>
        <w:drawing>
          <wp:inline distT="0" distB="0" distL="0" distR="0" wp14:anchorId="26889C0C" wp14:editId="043F805B">
            <wp:extent cx="5875020" cy="2375535"/>
            <wp:effectExtent l="0" t="0" r="11430" b="5715"/>
            <wp:docPr id="445059107" name="Chart 1">
              <a:extLst xmlns:a="http://schemas.openxmlformats.org/drawingml/2006/main">
                <a:ext uri="{FF2B5EF4-FFF2-40B4-BE49-F238E27FC236}">
                  <a16:creationId xmlns:a16="http://schemas.microsoft.com/office/drawing/2014/main" id="{A4055DFF-6FCB-E2D7-5449-B03B823EEAC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1D1D94C4" w14:textId="359F1FA0" w:rsidR="00601C98" w:rsidRPr="00601C98" w:rsidRDefault="00601C98" w:rsidP="00601C98">
      <w:pPr>
        <w:spacing w:line="240" w:lineRule="auto"/>
        <w:rPr>
          <w:sz w:val="20"/>
          <w:szCs w:val="20"/>
        </w:rPr>
      </w:pPr>
      <w:r w:rsidRPr="00601C98">
        <w:rPr>
          <w:sz w:val="20"/>
          <w:szCs w:val="20"/>
        </w:rPr>
        <w:lastRenderedPageBreak/>
        <w:t xml:space="preserve">2. </w:t>
      </w:r>
      <w:r w:rsidR="00032603">
        <w:rPr>
          <w:b/>
          <w:bCs/>
          <w:sz w:val="20"/>
          <w:szCs w:val="20"/>
        </w:rPr>
        <w:t>Column</w:t>
      </w:r>
      <w:r w:rsidRPr="00B34AEB">
        <w:rPr>
          <w:b/>
          <w:bCs/>
          <w:sz w:val="20"/>
          <w:szCs w:val="20"/>
        </w:rPr>
        <w:t xml:space="preserve"> Chart</w:t>
      </w:r>
      <w:r w:rsidRPr="00601C98">
        <w:rPr>
          <w:sz w:val="20"/>
          <w:szCs w:val="20"/>
        </w:rPr>
        <w:t xml:space="preserve">: </w:t>
      </w:r>
      <w:r w:rsidR="00032603" w:rsidRPr="00032603">
        <w:rPr>
          <w:noProof/>
          <w:sz w:val="20"/>
          <w:szCs w:val="20"/>
        </w:rPr>
        <w:t>A column chart will be used to compare the production levels of different crops such as rice, bajra, maize, and ragi for 2016–17.</w:t>
      </w:r>
      <w:r w:rsidR="009A4DD8" w:rsidRPr="00032603">
        <w:rPr>
          <w:noProof/>
          <w:sz w:val="20"/>
          <w:szCs w:val="20"/>
        </w:rPr>
        <w:drawing>
          <wp:inline distT="0" distB="0" distL="0" distR="0" wp14:anchorId="357CDD1A" wp14:editId="132BDB8F">
            <wp:extent cx="5196840" cy="2499360"/>
            <wp:effectExtent l="0" t="0" r="3810" b="0"/>
            <wp:docPr id="335461248" name="Chart 1">
              <a:extLst xmlns:a="http://schemas.openxmlformats.org/drawingml/2006/main">
                <a:ext uri="{FF2B5EF4-FFF2-40B4-BE49-F238E27FC236}">
                  <a16:creationId xmlns:a16="http://schemas.microsoft.com/office/drawing/2014/main" id="{7FF747B4-5012-AFAC-442C-AF734D3DCB3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2A15D37C" w14:textId="1B0068E8" w:rsidR="009A4DD8" w:rsidRPr="00601C98" w:rsidRDefault="00601C98" w:rsidP="00601C98">
      <w:pPr>
        <w:spacing w:line="240" w:lineRule="auto"/>
        <w:rPr>
          <w:sz w:val="20"/>
          <w:szCs w:val="20"/>
        </w:rPr>
      </w:pPr>
      <w:r w:rsidRPr="00601C98">
        <w:rPr>
          <w:sz w:val="20"/>
          <w:szCs w:val="20"/>
        </w:rPr>
        <w:t xml:space="preserve">3. </w:t>
      </w:r>
      <w:r w:rsidR="00AD39E1">
        <w:rPr>
          <w:b/>
          <w:bCs/>
          <w:sz w:val="20"/>
          <w:szCs w:val="20"/>
        </w:rPr>
        <w:t>Pie</w:t>
      </w:r>
      <w:r w:rsidRPr="00B34AEB">
        <w:rPr>
          <w:b/>
          <w:bCs/>
          <w:sz w:val="20"/>
          <w:szCs w:val="20"/>
        </w:rPr>
        <w:t xml:space="preserve"> Chart</w:t>
      </w:r>
      <w:r w:rsidRPr="00601C98">
        <w:rPr>
          <w:sz w:val="20"/>
          <w:szCs w:val="20"/>
        </w:rPr>
        <w:t xml:space="preserve">: </w:t>
      </w:r>
      <w:r w:rsidR="00032603" w:rsidRPr="00032603">
        <w:rPr>
          <w:noProof/>
          <w:sz w:val="20"/>
          <w:szCs w:val="20"/>
        </w:rPr>
        <w:t>A pie chart will be useful for showing the relative contribution of each crop to total production and identifying the crops with the highest and lowest shares.</w:t>
      </w:r>
      <w:r w:rsidR="00AD39E1" w:rsidRPr="00032603">
        <w:rPr>
          <w:noProof/>
          <w:sz w:val="20"/>
          <w:szCs w:val="20"/>
        </w:rPr>
        <w:drawing>
          <wp:inline distT="0" distB="0" distL="0" distR="0" wp14:anchorId="7CE96404" wp14:editId="07A10DE8">
            <wp:extent cx="5128260" cy="2240280"/>
            <wp:effectExtent l="0" t="0" r="0" b="7620"/>
            <wp:docPr id="1267184629" name="Chart 1">
              <a:extLst xmlns:a="http://schemas.openxmlformats.org/drawingml/2006/main">
                <a:ext uri="{FF2B5EF4-FFF2-40B4-BE49-F238E27FC236}">
                  <a16:creationId xmlns:a16="http://schemas.microsoft.com/office/drawing/2014/main" id="{BED9FE01-143F-F9B5-FD16-F7A81B12DE3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12E0D2A3" w14:textId="3AAD6C05" w:rsidR="00601C98" w:rsidRPr="00601C98" w:rsidRDefault="00601C98" w:rsidP="00601C98">
      <w:pPr>
        <w:spacing w:line="240" w:lineRule="auto"/>
        <w:rPr>
          <w:sz w:val="20"/>
          <w:szCs w:val="20"/>
        </w:rPr>
      </w:pPr>
    </w:p>
    <w:p w14:paraId="079D9DF2" w14:textId="77777777" w:rsidR="00AD39E1" w:rsidRPr="00601C98" w:rsidRDefault="00601C98" w:rsidP="00601C98">
      <w:pPr>
        <w:spacing w:line="240" w:lineRule="auto"/>
        <w:rPr>
          <w:sz w:val="20"/>
          <w:szCs w:val="20"/>
        </w:rPr>
      </w:pPr>
      <w:r w:rsidRPr="00601C98">
        <w:rPr>
          <w:sz w:val="20"/>
          <w:szCs w:val="20"/>
        </w:rPr>
        <w:t xml:space="preserve">4. </w:t>
      </w:r>
      <w:r w:rsidRPr="00AD39E1">
        <w:rPr>
          <w:b/>
          <w:bCs/>
          <w:sz w:val="20"/>
          <w:szCs w:val="20"/>
        </w:rPr>
        <w:t>Data Table</w:t>
      </w:r>
      <w:r w:rsidRPr="00601C98">
        <w:rPr>
          <w:sz w:val="20"/>
          <w:szCs w:val="20"/>
        </w:rPr>
        <w:t>: A summary table will be included to present important values clearly and allow readers to verify the information shown in the charts.</w:t>
      </w:r>
      <w:r w:rsidR="00AD39E1">
        <w:rPr>
          <w:sz w:val="20"/>
          <w:szCs w:val="20"/>
        </w:rPr>
        <w:t xml:space="preserve"> </w:t>
      </w:r>
      <w:r w:rsidRPr="00601C98">
        <w:rPr>
          <w:sz w:val="20"/>
          <w:szCs w:val="20"/>
        </w:rPr>
        <w:t>These visualization techniques are selected because they are simple, easy to understand, and suitable for comparing agricultural production data and identifying trends.</w:t>
      </w:r>
    </w:p>
    <w:tbl>
      <w:tblPr>
        <w:tblW w:w="6600" w:type="dxa"/>
        <w:tblLook w:val="04A0" w:firstRow="1" w:lastRow="0" w:firstColumn="1" w:lastColumn="0" w:noHBand="0" w:noVBand="1"/>
      </w:tblPr>
      <w:tblGrid>
        <w:gridCol w:w="3300"/>
        <w:gridCol w:w="3300"/>
      </w:tblGrid>
      <w:tr w:rsidR="00AD39E1" w:rsidRPr="00AD39E1" w14:paraId="14C0228A" w14:textId="77777777" w:rsidTr="00AD39E1">
        <w:trPr>
          <w:trHeight w:val="288"/>
        </w:trPr>
        <w:tc>
          <w:tcPr>
            <w:tcW w:w="3300" w:type="dxa"/>
            <w:tcBorders>
              <w:top w:val="single" w:sz="4" w:space="0" w:color="44B3E1"/>
              <w:left w:val="single" w:sz="4" w:space="0" w:color="44B3E1"/>
              <w:bottom w:val="single" w:sz="4" w:space="0" w:color="44B3E1"/>
              <w:right w:val="nil"/>
            </w:tcBorders>
            <w:shd w:val="clear" w:color="156082" w:fill="156082"/>
            <w:noWrap/>
            <w:vAlign w:val="bottom"/>
            <w:hideMark/>
          </w:tcPr>
          <w:p w14:paraId="44C1100D" w14:textId="77777777" w:rsidR="00AD39E1" w:rsidRPr="00AD39E1" w:rsidRDefault="00AD39E1" w:rsidP="00AD39E1">
            <w:pPr>
              <w:spacing w:after="0" w:line="240" w:lineRule="auto"/>
              <w:rPr>
                <w:rFonts w:ascii="Aptos Narrow" w:eastAsia="Times New Roman" w:hAnsi="Aptos Narrow" w:cs="Times New Roman"/>
                <w:b/>
                <w:bCs/>
                <w:color w:val="FFFFFF"/>
                <w:kern w:val="0"/>
                <w:sz w:val="22"/>
                <w:szCs w:val="22"/>
                <w:lang w:eastAsia="en-IN"/>
                <w14:ligatures w14:val="none"/>
              </w:rPr>
            </w:pPr>
            <w:r w:rsidRPr="00AD39E1">
              <w:rPr>
                <w:rFonts w:ascii="Aptos Narrow" w:eastAsia="Times New Roman" w:hAnsi="Aptos Narrow" w:cs="Times New Roman"/>
                <w:b/>
                <w:bCs/>
                <w:color w:val="FFFFFF"/>
                <w:kern w:val="0"/>
                <w:sz w:val="22"/>
                <w:szCs w:val="22"/>
                <w:lang w:eastAsia="en-IN"/>
                <w14:ligatures w14:val="none"/>
              </w:rPr>
              <w:t>Crop</w:t>
            </w:r>
          </w:p>
        </w:tc>
        <w:tc>
          <w:tcPr>
            <w:tcW w:w="3300" w:type="dxa"/>
            <w:tcBorders>
              <w:top w:val="single" w:sz="4" w:space="0" w:color="44B3E1"/>
              <w:left w:val="nil"/>
              <w:bottom w:val="single" w:sz="4" w:space="0" w:color="44B3E1"/>
              <w:right w:val="single" w:sz="4" w:space="0" w:color="44B3E1"/>
            </w:tcBorders>
            <w:shd w:val="clear" w:color="156082" w:fill="156082"/>
            <w:noWrap/>
            <w:vAlign w:val="bottom"/>
            <w:hideMark/>
          </w:tcPr>
          <w:p w14:paraId="3D9192F9" w14:textId="77777777" w:rsidR="00AD39E1" w:rsidRPr="00AD39E1" w:rsidRDefault="00AD39E1" w:rsidP="00AD39E1">
            <w:pPr>
              <w:spacing w:after="0" w:line="240" w:lineRule="auto"/>
              <w:rPr>
                <w:rFonts w:ascii="Aptos Narrow" w:eastAsia="Times New Roman" w:hAnsi="Aptos Narrow" w:cs="Times New Roman"/>
                <w:b/>
                <w:bCs/>
                <w:color w:val="FFFFFF"/>
                <w:kern w:val="0"/>
                <w:sz w:val="22"/>
                <w:szCs w:val="22"/>
                <w:lang w:eastAsia="en-IN"/>
                <w14:ligatures w14:val="none"/>
              </w:rPr>
            </w:pPr>
            <w:r w:rsidRPr="00AD39E1">
              <w:rPr>
                <w:rFonts w:ascii="Aptos Narrow" w:eastAsia="Times New Roman" w:hAnsi="Aptos Narrow" w:cs="Times New Roman"/>
                <w:b/>
                <w:bCs/>
                <w:color w:val="FFFFFF"/>
                <w:kern w:val="0"/>
                <w:sz w:val="22"/>
                <w:szCs w:val="22"/>
                <w:lang w:eastAsia="en-IN"/>
                <w14:ligatures w14:val="none"/>
              </w:rPr>
              <w:t>Production (000 tonnes)</w:t>
            </w:r>
          </w:p>
        </w:tc>
      </w:tr>
      <w:tr w:rsidR="00AD39E1" w:rsidRPr="00AD39E1" w14:paraId="03C76108" w14:textId="77777777" w:rsidTr="00AD39E1">
        <w:trPr>
          <w:trHeight w:val="288"/>
        </w:trPr>
        <w:tc>
          <w:tcPr>
            <w:tcW w:w="3300" w:type="dxa"/>
            <w:tcBorders>
              <w:top w:val="single" w:sz="4" w:space="0" w:color="44B3E1"/>
              <w:left w:val="single" w:sz="4" w:space="0" w:color="44B3E1"/>
              <w:bottom w:val="single" w:sz="4" w:space="0" w:color="44B3E1"/>
              <w:right w:val="nil"/>
            </w:tcBorders>
            <w:shd w:val="clear" w:color="C0E6F5" w:fill="C0E6F5"/>
            <w:noWrap/>
            <w:vAlign w:val="bottom"/>
            <w:hideMark/>
          </w:tcPr>
          <w:p w14:paraId="29F9D7EF" w14:textId="77777777" w:rsidR="00AD39E1" w:rsidRPr="00AD39E1" w:rsidRDefault="00AD39E1" w:rsidP="00AD39E1">
            <w:pPr>
              <w:spacing w:after="0" w:line="240" w:lineRule="auto"/>
              <w:rPr>
                <w:rFonts w:ascii="Aptos Narrow" w:eastAsia="Times New Roman" w:hAnsi="Aptos Narrow" w:cs="Times New Roman"/>
                <w:color w:val="000000"/>
                <w:kern w:val="0"/>
                <w:sz w:val="22"/>
                <w:szCs w:val="22"/>
                <w:lang w:eastAsia="en-IN"/>
                <w14:ligatures w14:val="none"/>
              </w:rPr>
            </w:pPr>
            <w:r w:rsidRPr="00AD39E1">
              <w:rPr>
                <w:rFonts w:ascii="Aptos Narrow" w:eastAsia="Times New Roman" w:hAnsi="Aptos Narrow" w:cs="Times New Roman"/>
                <w:color w:val="000000"/>
                <w:kern w:val="0"/>
                <w:sz w:val="22"/>
                <w:szCs w:val="22"/>
                <w:lang w:eastAsia="en-IN"/>
                <w14:ligatures w14:val="none"/>
              </w:rPr>
              <w:t>Rice</w:t>
            </w:r>
          </w:p>
        </w:tc>
        <w:tc>
          <w:tcPr>
            <w:tcW w:w="3300" w:type="dxa"/>
            <w:tcBorders>
              <w:top w:val="single" w:sz="4" w:space="0" w:color="44B3E1"/>
              <w:left w:val="nil"/>
              <w:bottom w:val="single" w:sz="4" w:space="0" w:color="44B3E1"/>
              <w:right w:val="single" w:sz="4" w:space="0" w:color="44B3E1"/>
            </w:tcBorders>
            <w:shd w:val="clear" w:color="C0E6F5" w:fill="C0E6F5"/>
            <w:noWrap/>
            <w:vAlign w:val="bottom"/>
            <w:hideMark/>
          </w:tcPr>
          <w:p w14:paraId="70DDB075" w14:textId="77777777" w:rsidR="00AD39E1" w:rsidRPr="00AD39E1" w:rsidRDefault="00AD39E1" w:rsidP="00AD39E1">
            <w:pPr>
              <w:spacing w:after="0" w:line="240" w:lineRule="auto"/>
              <w:jc w:val="right"/>
              <w:rPr>
                <w:rFonts w:ascii="Aptos Narrow" w:eastAsia="Times New Roman" w:hAnsi="Aptos Narrow" w:cs="Times New Roman"/>
                <w:color w:val="000000"/>
                <w:kern w:val="0"/>
                <w:sz w:val="22"/>
                <w:szCs w:val="22"/>
                <w:lang w:eastAsia="en-IN"/>
                <w14:ligatures w14:val="none"/>
              </w:rPr>
            </w:pPr>
            <w:r w:rsidRPr="00AD39E1">
              <w:rPr>
                <w:rFonts w:ascii="Aptos Narrow" w:eastAsia="Times New Roman" w:hAnsi="Aptos Narrow" w:cs="Times New Roman"/>
                <w:color w:val="000000"/>
                <w:kern w:val="0"/>
                <w:sz w:val="22"/>
                <w:szCs w:val="22"/>
                <w:lang w:eastAsia="en-IN"/>
                <w14:ligatures w14:val="none"/>
              </w:rPr>
              <w:t>93880</w:t>
            </w:r>
          </w:p>
        </w:tc>
      </w:tr>
      <w:tr w:rsidR="00AD39E1" w:rsidRPr="00AD39E1" w14:paraId="14A268F4" w14:textId="77777777" w:rsidTr="00AD39E1">
        <w:trPr>
          <w:trHeight w:val="288"/>
        </w:trPr>
        <w:tc>
          <w:tcPr>
            <w:tcW w:w="3300" w:type="dxa"/>
            <w:tcBorders>
              <w:top w:val="single" w:sz="4" w:space="0" w:color="44B3E1"/>
              <w:left w:val="single" w:sz="4" w:space="0" w:color="44B3E1"/>
              <w:bottom w:val="single" w:sz="4" w:space="0" w:color="44B3E1"/>
              <w:right w:val="nil"/>
            </w:tcBorders>
            <w:noWrap/>
            <w:vAlign w:val="bottom"/>
            <w:hideMark/>
          </w:tcPr>
          <w:p w14:paraId="12E2325F" w14:textId="77777777" w:rsidR="00AD39E1" w:rsidRPr="00AD39E1" w:rsidRDefault="00AD39E1" w:rsidP="00AD39E1">
            <w:pPr>
              <w:spacing w:after="0" w:line="240" w:lineRule="auto"/>
              <w:rPr>
                <w:rFonts w:ascii="Aptos Narrow" w:eastAsia="Times New Roman" w:hAnsi="Aptos Narrow" w:cs="Times New Roman"/>
                <w:color w:val="000000"/>
                <w:kern w:val="0"/>
                <w:sz w:val="22"/>
                <w:szCs w:val="22"/>
                <w:lang w:eastAsia="en-IN"/>
                <w14:ligatures w14:val="none"/>
              </w:rPr>
            </w:pPr>
            <w:r w:rsidRPr="00AD39E1">
              <w:rPr>
                <w:rFonts w:ascii="Aptos Narrow" w:eastAsia="Times New Roman" w:hAnsi="Aptos Narrow" w:cs="Times New Roman"/>
                <w:color w:val="000000"/>
                <w:kern w:val="0"/>
                <w:sz w:val="22"/>
                <w:szCs w:val="22"/>
                <w:lang w:eastAsia="en-IN"/>
                <w14:ligatures w14:val="none"/>
              </w:rPr>
              <w:t>Bajra</w:t>
            </w:r>
          </w:p>
        </w:tc>
        <w:tc>
          <w:tcPr>
            <w:tcW w:w="3300" w:type="dxa"/>
            <w:tcBorders>
              <w:top w:val="single" w:sz="4" w:space="0" w:color="44B3E1"/>
              <w:left w:val="nil"/>
              <w:bottom w:val="single" w:sz="4" w:space="0" w:color="44B3E1"/>
              <w:right w:val="single" w:sz="4" w:space="0" w:color="44B3E1"/>
            </w:tcBorders>
            <w:noWrap/>
            <w:vAlign w:val="bottom"/>
            <w:hideMark/>
          </w:tcPr>
          <w:p w14:paraId="0AB31E69" w14:textId="77777777" w:rsidR="00AD39E1" w:rsidRPr="00AD39E1" w:rsidRDefault="00AD39E1" w:rsidP="00AD39E1">
            <w:pPr>
              <w:spacing w:after="0" w:line="240" w:lineRule="auto"/>
              <w:jc w:val="right"/>
              <w:rPr>
                <w:rFonts w:ascii="Aptos Narrow" w:eastAsia="Times New Roman" w:hAnsi="Aptos Narrow" w:cs="Times New Roman"/>
                <w:color w:val="000000"/>
                <w:kern w:val="0"/>
                <w:sz w:val="22"/>
                <w:szCs w:val="22"/>
                <w:lang w:eastAsia="en-IN"/>
                <w14:ligatures w14:val="none"/>
              </w:rPr>
            </w:pPr>
            <w:r w:rsidRPr="00AD39E1">
              <w:rPr>
                <w:rFonts w:ascii="Aptos Narrow" w:eastAsia="Times New Roman" w:hAnsi="Aptos Narrow" w:cs="Times New Roman"/>
                <w:color w:val="000000"/>
                <w:kern w:val="0"/>
                <w:sz w:val="22"/>
                <w:szCs w:val="22"/>
                <w:lang w:eastAsia="en-IN"/>
                <w14:ligatures w14:val="none"/>
              </w:rPr>
              <w:t>8550</w:t>
            </w:r>
          </w:p>
        </w:tc>
      </w:tr>
      <w:tr w:rsidR="00AD39E1" w:rsidRPr="00AD39E1" w14:paraId="6932F404" w14:textId="77777777" w:rsidTr="00AD39E1">
        <w:trPr>
          <w:trHeight w:val="288"/>
        </w:trPr>
        <w:tc>
          <w:tcPr>
            <w:tcW w:w="3300" w:type="dxa"/>
            <w:tcBorders>
              <w:top w:val="single" w:sz="4" w:space="0" w:color="44B3E1"/>
              <w:left w:val="single" w:sz="4" w:space="0" w:color="44B3E1"/>
              <w:bottom w:val="single" w:sz="4" w:space="0" w:color="44B3E1"/>
              <w:right w:val="nil"/>
            </w:tcBorders>
            <w:shd w:val="clear" w:color="C0E6F5" w:fill="C0E6F5"/>
            <w:noWrap/>
            <w:vAlign w:val="bottom"/>
            <w:hideMark/>
          </w:tcPr>
          <w:p w14:paraId="35A12512" w14:textId="77777777" w:rsidR="00AD39E1" w:rsidRPr="00AD39E1" w:rsidRDefault="00AD39E1" w:rsidP="00AD39E1">
            <w:pPr>
              <w:spacing w:after="0" w:line="240" w:lineRule="auto"/>
              <w:rPr>
                <w:rFonts w:ascii="Aptos Narrow" w:eastAsia="Times New Roman" w:hAnsi="Aptos Narrow" w:cs="Times New Roman"/>
                <w:color w:val="000000"/>
                <w:kern w:val="0"/>
                <w:sz w:val="22"/>
                <w:szCs w:val="22"/>
                <w:lang w:eastAsia="en-IN"/>
                <w14:ligatures w14:val="none"/>
              </w:rPr>
            </w:pPr>
            <w:r w:rsidRPr="00AD39E1">
              <w:rPr>
                <w:rFonts w:ascii="Aptos Narrow" w:eastAsia="Times New Roman" w:hAnsi="Aptos Narrow" w:cs="Times New Roman"/>
                <w:color w:val="000000"/>
                <w:kern w:val="0"/>
                <w:sz w:val="22"/>
                <w:szCs w:val="22"/>
                <w:lang w:eastAsia="en-IN"/>
                <w14:ligatures w14:val="none"/>
              </w:rPr>
              <w:t>Maize</w:t>
            </w:r>
          </w:p>
        </w:tc>
        <w:tc>
          <w:tcPr>
            <w:tcW w:w="3300" w:type="dxa"/>
            <w:tcBorders>
              <w:top w:val="single" w:sz="4" w:space="0" w:color="44B3E1"/>
              <w:left w:val="nil"/>
              <w:bottom w:val="single" w:sz="4" w:space="0" w:color="44B3E1"/>
              <w:right w:val="single" w:sz="4" w:space="0" w:color="44B3E1"/>
            </w:tcBorders>
            <w:shd w:val="clear" w:color="C0E6F5" w:fill="C0E6F5"/>
            <w:noWrap/>
            <w:vAlign w:val="bottom"/>
            <w:hideMark/>
          </w:tcPr>
          <w:p w14:paraId="0217E182" w14:textId="77777777" w:rsidR="00AD39E1" w:rsidRPr="00AD39E1" w:rsidRDefault="00AD39E1" w:rsidP="00AD39E1">
            <w:pPr>
              <w:spacing w:after="0" w:line="240" w:lineRule="auto"/>
              <w:jc w:val="right"/>
              <w:rPr>
                <w:rFonts w:ascii="Aptos Narrow" w:eastAsia="Times New Roman" w:hAnsi="Aptos Narrow" w:cs="Times New Roman"/>
                <w:color w:val="000000"/>
                <w:kern w:val="0"/>
                <w:sz w:val="22"/>
                <w:szCs w:val="22"/>
                <w:lang w:eastAsia="en-IN"/>
                <w14:ligatures w14:val="none"/>
              </w:rPr>
            </w:pPr>
            <w:r w:rsidRPr="00AD39E1">
              <w:rPr>
                <w:rFonts w:ascii="Aptos Narrow" w:eastAsia="Times New Roman" w:hAnsi="Aptos Narrow" w:cs="Times New Roman"/>
                <w:color w:val="000000"/>
                <w:kern w:val="0"/>
                <w:sz w:val="22"/>
                <w:szCs w:val="22"/>
                <w:lang w:eastAsia="en-IN"/>
                <w14:ligatures w14:val="none"/>
              </w:rPr>
              <w:t>19300</w:t>
            </w:r>
          </w:p>
        </w:tc>
      </w:tr>
      <w:tr w:rsidR="00AD39E1" w:rsidRPr="00AD39E1" w14:paraId="5335B4EB" w14:textId="77777777" w:rsidTr="00AD39E1">
        <w:trPr>
          <w:trHeight w:val="288"/>
        </w:trPr>
        <w:tc>
          <w:tcPr>
            <w:tcW w:w="3300" w:type="dxa"/>
            <w:tcBorders>
              <w:top w:val="single" w:sz="4" w:space="0" w:color="44B3E1"/>
              <w:left w:val="single" w:sz="4" w:space="0" w:color="44B3E1"/>
              <w:bottom w:val="single" w:sz="4" w:space="0" w:color="44B3E1"/>
              <w:right w:val="nil"/>
            </w:tcBorders>
            <w:noWrap/>
            <w:vAlign w:val="bottom"/>
            <w:hideMark/>
          </w:tcPr>
          <w:p w14:paraId="62C83BB5" w14:textId="77777777" w:rsidR="00AD39E1" w:rsidRPr="00AD39E1" w:rsidRDefault="00AD39E1" w:rsidP="00AD39E1">
            <w:pPr>
              <w:spacing w:after="0" w:line="240" w:lineRule="auto"/>
              <w:rPr>
                <w:rFonts w:ascii="Aptos Narrow" w:eastAsia="Times New Roman" w:hAnsi="Aptos Narrow" w:cs="Times New Roman"/>
                <w:color w:val="000000"/>
                <w:kern w:val="0"/>
                <w:sz w:val="22"/>
                <w:szCs w:val="22"/>
                <w:lang w:eastAsia="en-IN"/>
                <w14:ligatures w14:val="none"/>
              </w:rPr>
            </w:pPr>
            <w:r w:rsidRPr="00AD39E1">
              <w:rPr>
                <w:rFonts w:ascii="Aptos Narrow" w:eastAsia="Times New Roman" w:hAnsi="Aptos Narrow" w:cs="Times New Roman"/>
                <w:color w:val="000000"/>
                <w:kern w:val="0"/>
                <w:sz w:val="22"/>
                <w:szCs w:val="22"/>
                <w:lang w:eastAsia="en-IN"/>
                <w14:ligatures w14:val="none"/>
              </w:rPr>
              <w:t>Ragi</w:t>
            </w:r>
          </w:p>
        </w:tc>
        <w:tc>
          <w:tcPr>
            <w:tcW w:w="3300" w:type="dxa"/>
            <w:tcBorders>
              <w:top w:val="single" w:sz="4" w:space="0" w:color="44B3E1"/>
              <w:left w:val="nil"/>
              <w:bottom w:val="single" w:sz="4" w:space="0" w:color="44B3E1"/>
              <w:right w:val="single" w:sz="4" w:space="0" w:color="44B3E1"/>
            </w:tcBorders>
            <w:noWrap/>
            <w:vAlign w:val="bottom"/>
            <w:hideMark/>
          </w:tcPr>
          <w:p w14:paraId="36A78212" w14:textId="77777777" w:rsidR="00AD39E1" w:rsidRPr="00AD39E1" w:rsidRDefault="00AD39E1" w:rsidP="00AD39E1">
            <w:pPr>
              <w:spacing w:after="0" w:line="240" w:lineRule="auto"/>
              <w:jc w:val="right"/>
              <w:rPr>
                <w:rFonts w:ascii="Aptos Narrow" w:eastAsia="Times New Roman" w:hAnsi="Aptos Narrow" w:cs="Times New Roman"/>
                <w:color w:val="000000"/>
                <w:kern w:val="0"/>
                <w:sz w:val="22"/>
                <w:szCs w:val="22"/>
                <w:lang w:eastAsia="en-IN"/>
                <w14:ligatures w14:val="none"/>
              </w:rPr>
            </w:pPr>
            <w:r w:rsidRPr="00AD39E1">
              <w:rPr>
                <w:rFonts w:ascii="Aptos Narrow" w:eastAsia="Times New Roman" w:hAnsi="Aptos Narrow" w:cs="Times New Roman"/>
                <w:color w:val="000000"/>
                <w:kern w:val="0"/>
                <w:sz w:val="22"/>
                <w:szCs w:val="22"/>
                <w:lang w:eastAsia="en-IN"/>
                <w14:ligatures w14:val="none"/>
              </w:rPr>
              <w:t>1850</w:t>
            </w:r>
          </w:p>
        </w:tc>
      </w:tr>
    </w:tbl>
    <w:p w14:paraId="5A5A0A1D" w14:textId="56C967BD" w:rsidR="00601C98" w:rsidRPr="00601C98" w:rsidRDefault="00601C98" w:rsidP="00601C98">
      <w:pPr>
        <w:spacing w:line="240" w:lineRule="auto"/>
        <w:rPr>
          <w:sz w:val="20"/>
          <w:szCs w:val="20"/>
        </w:rPr>
      </w:pPr>
    </w:p>
    <w:p w14:paraId="4B42EF20" w14:textId="1B839DF1" w:rsidR="00601C98" w:rsidRPr="00AD39E1" w:rsidRDefault="00601C98" w:rsidP="00601C98">
      <w:pPr>
        <w:spacing w:line="240" w:lineRule="auto"/>
        <w:rPr>
          <w:sz w:val="20"/>
          <w:szCs w:val="20"/>
        </w:rPr>
      </w:pPr>
      <w:r>
        <w:rPr>
          <w:b/>
          <w:bCs/>
          <w:sz w:val="20"/>
          <w:szCs w:val="20"/>
        </w:rPr>
        <w:t xml:space="preserve">4. </w:t>
      </w:r>
      <w:r w:rsidRPr="00601C98">
        <w:rPr>
          <w:b/>
          <w:bCs/>
          <w:sz w:val="20"/>
          <w:szCs w:val="20"/>
        </w:rPr>
        <w:t>Visualization Design Process</w:t>
      </w:r>
      <w:r w:rsidR="00AD39E1">
        <w:rPr>
          <w:b/>
          <w:bCs/>
          <w:sz w:val="20"/>
          <w:szCs w:val="20"/>
        </w:rPr>
        <w:t xml:space="preserve"> </w:t>
      </w:r>
      <w:r w:rsidR="00AD39E1" w:rsidRPr="00AD39E1">
        <w:rPr>
          <w:sz w:val="20"/>
          <w:szCs w:val="20"/>
        </w:rPr>
        <w:t xml:space="preserve">: The visualization design process begins by reviewing and understanding the cleaned agribusiness dataset. The relevant crop production values are selected and organized before creating the visualizations. A line chart is used to show the trend in rice production over the years, while a column chart is used to compare the production of different crops. A pie chart is also used to show the relative contribution of each selected crop to total production. The charts are designed with clear titles, labels, and readable formatting so that the information can be understood easily. The data table is included to provide the exact values behind the visualizations. Finally, the charts and table </w:t>
      </w:r>
      <w:r w:rsidR="00AD39E1" w:rsidRPr="00AD39E1">
        <w:rPr>
          <w:sz w:val="20"/>
          <w:szCs w:val="20"/>
        </w:rPr>
        <w:lastRenderedPageBreak/>
        <w:t>are reviewed to ensure that they are accurate, consistent, and suitable for communicating agribusiness insights.</w:t>
      </w:r>
    </w:p>
    <w:p w14:paraId="61DC6A60" w14:textId="4F71D631" w:rsidR="00601C98" w:rsidRPr="00032603" w:rsidRDefault="00601C98" w:rsidP="00601C98">
      <w:pPr>
        <w:spacing w:line="240" w:lineRule="auto"/>
        <w:rPr>
          <w:sz w:val="20"/>
          <w:szCs w:val="20"/>
        </w:rPr>
      </w:pPr>
      <w:r>
        <w:rPr>
          <w:b/>
          <w:bCs/>
          <w:sz w:val="20"/>
          <w:szCs w:val="20"/>
        </w:rPr>
        <w:t xml:space="preserve">5. </w:t>
      </w:r>
      <w:r w:rsidRPr="00601C98">
        <w:rPr>
          <w:b/>
          <w:bCs/>
          <w:sz w:val="20"/>
          <w:szCs w:val="20"/>
        </w:rPr>
        <w:t>Potential Challenges and Solutions</w:t>
      </w:r>
      <w:r w:rsidR="00032603">
        <w:rPr>
          <w:b/>
          <w:bCs/>
          <w:sz w:val="20"/>
          <w:szCs w:val="20"/>
        </w:rPr>
        <w:t xml:space="preserve"> : </w:t>
      </w:r>
      <w:r w:rsidR="00032603" w:rsidRPr="00032603">
        <w:rPr>
          <w:sz w:val="20"/>
          <w:szCs w:val="20"/>
        </w:rPr>
        <w:t>Agribusiness data may contain missing values, inconsistent formats, or differences in measurement units. These issues can affect the accuracy of visualizations. To reduce these problems, the dataset should be checked and cleaned before creating charts. Another challenge is the large difference between crop production values, which can make smaller crops difficult to compare visually. Appropriate chart types, clear labels, and suitable scales can help address this issue. Complex charts should be avoided so that the information remains easy to understand. Finally, all charts and tables should be cross-checked with the original cleaned dataset to ensure accuracy and consistency.</w:t>
      </w:r>
    </w:p>
    <w:p w14:paraId="5FE9D737" w14:textId="38E2A114" w:rsidR="00601C98" w:rsidRPr="00032603" w:rsidRDefault="00601C98" w:rsidP="00601C98">
      <w:pPr>
        <w:spacing w:line="240" w:lineRule="auto"/>
        <w:rPr>
          <w:sz w:val="20"/>
          <w:szCs w:val="20"/>
        </w:rPr>
      </w:pPr>
      <w:r w:rsidRPr="00032603">
        <w:rPr>
          <w:sz w:val="20"/>
          <w:szCs w:val="20"/>
        </w:rPr>
        <w:t>6. Report Storyboard / Layout Plan</w:t>
      </w:r>
      <w:r w:rsidR="00032603" w:rsidRPr="00032603">
        <w:rPr>
          <w:sz w:val="20"/>
          <w:szCs w:val="20"/>
        </w:rPr>
        <w:t xml:space="preserve"> : </w:t>
      </w:r>
      <w:r w:rsidR="00032603" w:rsidRPr="00032603">
        <w:rPr>
          <w:sz w:val="20"/>
          <w:szCs w:val="20"/>
        </w:rPr>
        <w:t>The report will follow a simple and logical structure. First, the objective and purpose of the analysis will be presented. Next, the key agribusiness metrics and selected crops will be introduced. The rice production line chart will then show the production trend from 2001–02 to 2016–17. A column chart will follow to compare the production levels of Rice, Bajra, Maize, and Ragi. A pie chart will show the relative contribution of the selected crops to total production. The summary data table will be placed after the visualizations so that readers can verify the exact values. Finally, the report will present the main findings, challenges, and recommendations. This layout will make the report easy to follow and understand.</w:t>
      </w:r>
    </w:p>
    <w:p w14:paraId="28F239DD" w14:textId="2CE10A39" w:rsidR="00601C98" w:rsidRPr="00032603" w:rsidRDefault="00601C98" w:rsidP="00601C98">
      <w:pPr>
        <w:spacing w:line="240" w:lineRule="auto"/>
        <w:rPr>
          <w:sz w:val="20"/>
          <w:szCs w:val="20"/>
        </w:rPr>
      </w:pPr>
      <w:r>
        <w:rPr>
          <w:b/>
          <w:bCs/>
          <w:sz w:val="20"/>
          <w:szCs w:val="20"/>
        </w:rPr>
        <w:t xml:space="preserve">7. </w:t>
      </w:r>
      <w:r w:rsidRPr="00601C98">
        <w:rPr>
          <w:b/>
          <w:bCs/>
          <w:sz w:val="20"/>
          <w:szCs w:val="20"/>
        </w:rPr>
        <w:t>Timeline and Action Plan</w:t>
      </w:r>
      <w:r w:rsidR="00032603">
        <w:rPr>
          <w:b/>
          <w:bCs/>
          <w:sz w:val="20"/>
          <w:szCs w:val="20"/>
        </w:rPr>
        <w:t xml:space="preserve"> : </w:t>
      </w:r>
      <w:r w:rsidR="00032603" w:rsidRPr="00032603">
        <w:rPr>
          <w:sz w:val="20"/>
          <w:szCs w:val="20"/>
        </w:rPr>
        <w:t>The visualization project will be completed in a structured sequence. First, the cleaned agribusiness dataset will be reviewed to understand the available crop production information. Next, the required data will be selected and organized for visualization. The line chart will then be prepared to show the rice production trend over the years. A column chart will be created to compare the production of different crops, followed by a pie chart to show their relative contribution. After creating the charts, the data table will be prepared with the exact production values. The visualizations and table will then be checked for accuracy, clarity, and consistency. Finally, the complete report will be reviewed and formatted before submission.</w:t>
      </w:r>
    </w:p>
    <w:p w14:paraId="31A33DE8" w14:textId="41EAF9E5" w:rsidR="00601C98" w:rsidRPr="00032603" w:rsidRDefault="00601C98" w:rsidP="00601C98">
      <w:pPr>
        <w:spacing w:line="240" w:lineRule="auto"/>
        <w:rPr>
          <w:sz w:val="20"/>
          <w:szCs w:val="20"/>
        </w:rPr>
      </w:pPr>
      <w:r>
        <w:rPr>
          <w:b/>
          <w:bCs/>
          <w:sz w:val="20"/>
          <w:szCs w:val="20"/>
        </w:rPr>
        <w:t xml:space="preserve">8. </w:t>
      </w:r>
      <w:r w:rsidRPr="00601C98">
        <w:rPr>
          <w:b/>
          <w:bCs/>
          <w:sz w:val="20"/>
          <w:szCs w:val="20"/>
        </w:rPr>
        <w:t>Conclusion</w:t>
      </w:r>
      <w:r w:rsidR="00032603">
        <w:rPr>
          <w:b/>
          <w:bCs/>
          <w:sz w:val="20"/>
          <w:szCs w:val="20"/>
        </w:rPr>
        <w:t xml:space="preserve"> : </w:t>
      </w:r>
      <w:r w:rsidR="00032603" w:rsidRPr="00032603">
        <w:rPr>
          <w:sz w:val="20"/>
          <w:szCs w:val="20"/>
        </w:rPr>
        <w:t>This report provides a clear plan for visualizing agribusiness production data using appropriate charts, graphs, and tables. The line chart helps identify changes in rice production over time, while the column chart makes it easy to compare the production of different crops. The pie chart provides a simple view of the contribution of each crop to the total production. The data table supports these visualizations by presenting the exact values used in the analysis. Overall, the proposed visualization approach will make the agribusiness data easier to understand and help communicate important trends and comparisons effectively. Accurate data preparation, clear design, and appropriate visualization techniques will ensure that the final report is useful for decision-making.</w:t>
      </w:r>
    </w:p>
    <w:sectPr w:rsidR="00601C98" w:rsidRPr="000326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86CD7"/>
    <w:multiLevelType w:val="hybridMultilevel"/>
    <w:tmpl w:val="03A087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B02766D"/>
    <w:multiLevelType w:val="hybridMultilevel"/>
    <w:tmpl w:val="5CA82CBC"/>
    <w:lvl w:ilvl="0" w:tplc="4768F2B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12595087">
    <w:abstractNumId w:val="0"/>
  </w:num>
  <w:num w:numId="2" w16cid:durableId="8293223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C98"/>
    <w:rsid w:val="00032603"/>
    <w:rsid w:val="00122C90"/>
    <w:rsid w:val="0027156F"/>
    <w:rsid w:val="004E283D"/>
    <w:rsid w:val="00601C98"/>
    <w:rsid w:val="009A4DD8"/>
    <w:rsid w:val="00AD39E1"/>
    <w:rsid w:val="00B34AEB"/>
    <w:rsid w:val="00BE54D8"/>
    <w:rsid w:val="00C33F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FAD0F"/>
  <w15:chartTrackingRefBased/>
  <w15:docId w15:val="{A62FD9E9-FDEB-44D4-9518-CBF11E3F9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1C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1C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1C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1C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1C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1C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1C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1C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1C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1C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1C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1C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1C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1C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1C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1C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1C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1C98"/>
    <w:rPr>
      <w:rFonts w:eastAsiaTheme="majorEastAsia" w:cstheme="majorBidi"/>
      <w:color w:val="272727" w:themeColor="text1" w:themeTint="D8"/>
    </w:rPr>
  </w:style>
  <w:style w:type="paragraph" w:styleId="Title">
    <w:name w:val="Title"/>
    <w:basedOn w:val="Normal"/>
    <w:next w:val="Normal"/>
    <w:link w:val="TitleChar"/>
    <w:uiPriority w:val="10"/>
    <w:qFormat/>
    <w:rsid w:val="00601C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1C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1C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1C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1C98"/>
    <w:pPr>
      <w:spacing w:before="160"/>
      <w:jc w:val="center"/>
    </w:pPr>
    <w:rPr>
      <w:i/>
      <w:iCs/>
      <w:color w:val="404040" w:themeColor="text1" w:themeTint="BF"/>
    </w:rPr>
  </w:style>
  <w:style w:type="character" w:customStyle="1" w:styleId="QuoteChar">
    <w:name w:val="Quote Char"/>
    <w:basedOn w:val="DefaultParagraphFont"/>
    <w:link w:val="Quote"/>
    <w:uiPriority w:val="29"/>
    <w:rsid w:val="00601C98"/>
    <w:rPr>
      <w:i/>
      <w:iCs/>
      <w:color w:val="404040" w:themeColor="text1" w:themeTint="BF"/>
    </w:rPr>
  </w:style>
  <w:style w:type="paragraph" w:styleId="ListParagraph">
    <w:name w:val="List Paragraph"/>
    <w:basedOn w:val="Normal"/>
    <w:uiPriority w:val="34"/>
    <w:qFormat/>
    <w:rsid w:val="00601C98"/>
    <w:pPr>
      <w:ind w:left="720"/>
      <w:contextualSpacing/>
    </w:pPr>
  </w:style>
  <w:style w:type="character" w:styleId="IntenseEmphasis">
    <w:name w:val="Intense Emphasis"/>
    <w:basedOn w:val="DefaultParagraphFont"/>
    <w:uiPriority w:val="21"/>
    <w:qFormat/>
    <w:rsid w:val="00601C98"/>
    <w:rPr>
      <w:i/>
      <w:iCs/>
      <w:color w:val="0F4761" w:themeColor="accent1" w:themeShade="BF"/>
    </w:rPr>
  </w:style>
  <w:style w:type="paragraph" w:styleId="IntenseQuote">
    <w:name w:val="Intense Quote"/>
    <w:basedOn w:val="Normal"/>
    <w:next w:val="Normal"/>
    <w:link w:val="IntenseQuoteChar"/>
    <w:uiPriority w:val="30"/>
    <w:qFormat/>
    <w:rsid w:val="00601C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1C98"/>
    <w:rPr>
      <w:i/>
      <w:iCs/>
      <w:color w:val="0F4761" w:themeColor="accent1" w:themeShade="BF"/>
    </w:rPr>
  </w:style>
  <w:style w:type="character" w:styleId="IntenseReference">
    <w:name w:val="Intense Reference"/>
    <w:basedOn w:val="DefaultParagraphFont"/>
    <w:uiPriority w:val="32"/>
    <w:qFormat/>
    <w:rsid w:val="00601C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hart" Target="charts/chart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2.xml"/><Relationship Id="rId5" Type="http://schemas.openxmlformats.org/officeDocument/2006/relationships/chart" Target="charts/chart1.xml"/><Relationship Id="rId4" Type="http://schemas.openxmlformats.org/officeDocument/2006/relationships/webSettings" Target="webSettings.xml"/><Relationship Id="rId9"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498AB74DB7CD323C/Documents/Agribusiness_Data_Cleaning.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d.docs.live.net/498AB74DB7CD323C/Documents/Agribusiness_Data_Cleaning.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d.docs.live.net/498AB74DB7CD323C/Documents/Agribusiness_Data_Cleaning.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cap="none" baseline="0">
                <a:solidFill>
                  <a:schemeClr val="lt1">
                    <a:lumMod val="85000"/>
                  </a:schemeClr>
                </a:solidFill>
                <a:latin typeface="+mn-lt"/>
                <a:ea typeface="+mn-ea"/>
                <a:cs typeface="+mn-cs"/>
              </a:defRPr>
            </a:pPr>
            <a:r>
              <a:rPr lang="en-IN"/>
              <a:t>Rice Production Trend (2001–02 to 2016–17)</a:t>
            </a:r>
          </a:p>
        </c:rich>
      </c:tx>
      <c:layout>
        <c:manualLayout>
          <c:xMode val="edge"/>
          <c:yMode val="edge"/>
          <c:x val="0.10090595088253375"/>
          <c:y val="2.7192386131883073E-2"/>
        </c:manualLayout>
      </c:layout>
      <c:overlay val="0"/>
      <c:spPr>
        <a:noFill/>
        <a:ln>
          <a:noFill/>
        </a:ln>
        <a:effectLst/>
      </c:spPr>
      <c:txPr>
        <a:bodyPr rot="0" spcFirstLastPara="1" vertOverflow="ellipsis" vert="horz" wrap="square" anchor="ctr" anchorCtr="1"/>
        <a:lstStyle/>
        <a:p>
          <a:pPr>
            <a:defRPr sz="1400" b="1" i="0" u="none" strike="noStrike" kern="1200" cap="none" baseline="0">
              <a:solidFill>
                <a:schemeClr val="lt1">
                  <a:lumMod val="85000"/>
                </a:schemeClr>
              </a:solidFill>
              <a:latin typeface="+mn-lt"/>
              <a:ea typeface="+mn-ea"/>
              <a:cs typeface="+mn-cs"/>
            </a:defRPr>
          </a:pPr>
          <a:endParaRPr lang="en-US"/>
        </a:p>
      </c:txPr>
    </c:title>
    <c:autoTitleDeleted val="0"/>
    <c:plotArea>
      <c:layout>
        <c:manualLayout>
          <c:layoutTarget val="inner"/>
          <c:xMode val="edge"/>
          <c:yMode val="edge"/>
          <c:x val="0.14758047205065911"/>
          <c:y val="0.19569453886245183"/>
          <c:w val="0.82860087424016238"/>
          <c:h val="0.49792292278896816"/>
        </c:manualLayout>
      </c:layout>
      <c:lineChart>
        <c:grouping val="standard"/>
        <c:varyColors val="0"/>
        <c:ser>
          <c:idx val="0"/>
          <c:order val="0"/>
          <c:tx>
            <c:strRef>
              <c:f>Cleaned_Data!$B$1</c:f>
              <c:strCache>
                <c:ptCount val="1"/>
                <c:pt idx="0">
                  <c:v>Food Grains (Cereals) - Rice (000 tonnes)</c:v>
                </c:pt>
              </c:strCache>
            </c:strRef>
          </c:tx>
          <c:spPr>
            <a:ln w="22225" cap="rnd">
              <a:solidFill>
                <a:schemeClr val="accent1"/>
              </a:solidFill>
            </a:ln>
            <a:effectLst>
              <a:glow rad="139700">
                <a:schemeClr val="accent1">
                  <a:satMod val="175000"/>
                  <a:alpha val="14000"/>
                </a:schemeClr>
              </a:glow>
            </a:effectLst>
          </c:spPr>
          <c:marker>
            <c:symbol val="none"/>
          </c:marker>
          <c:cat>
            <c:strRef>
              <c:f>Cleaned_Data!$A$2:$A$23</c:f>
              <c:strCache>
                <c:ptCount val="16"/>
                <c:pt idx="0">
                  <c:v>2001-02</c:v>
                </c:pt>
                <c:pt idx="1">
                  <c:v>2002-03</c:v>
                </c:pt>
                <c:pt idx="2">
                  <c:v>2003-04</c:v>
                </c:pt>
                <c:pt idx="3">
                  <c:v>2004-05</c:v>
                </c:pt>
                <c:pt idx="4">
                  <c:v>2005-06</c:v>
                </c:pt>
                <c:pt idx="5">
                  <c:v>2006-07</c:v>
                </c:pt>
                <c:pt idx="6">
                  <c:v>2007-08</c:v>
                </c:pt>
                <c:pt idx="7">
                  <c:v>2008-09</c:v>
                </c:pt>
                <c:pt idx="8">
                  <c:v>2009-10</c:v>
                </c:pt>
                <c:pt idx="9">
                  <c:v>2010-11</c:v>
                </c:pt>
                <c:pt idx="10">
                  <c:v>2011-12</c:v>
                </c:pt>
                <c:pt idx="11">
                  <c:v>2012-13</c:v>
                </c:pt>
                <c:pt idx="12">
                  <c:v>2013-14</c:v>
                </c:pt>
                <c:pt idx="13">
                  <c:v>2014-15</c:v>
                </c:pt>
                <c:pt idx="14">
                  <c:v>2015-16</c:v>
                </c:pt>
                <c:pt idx="15">
                  <c:v>2016-17 (A.E)</c:v>
                </c:pt>
              </c:strCache>
            </c:strRef>
          </c:cat>
          <c:val>
            <c:numRef>
              <c:f>Cleaned_Data!$B$2:$B$23</c:f>
              <c:numCache>
                <c:formatCode>General</c:formatCode>
                <c:ptCount val="22"/>
                <c:pt idx="0">
                  <c:v>93340</c:v>
                </c:pt>
                <c:pt idx="1">
                  <c:v>71820</c:v>
                </c:pt>
                <c:pt idx="2">
                  <c:v>88526</c:v>
                </c:pt>
                <c:pt idx="3">
                  <c:v>83132</c:v>
                </c:pt>
                <c:pt idx="4">
                  <c:v>91793</c:v>
                </c:pt>
                <c:pt idx="5">
                  <c:v>93355</c:v>
                </c:pt>
                <c:pt idx="6">
                  <c:v>96693</c:v>
                </c:pt>
                <c:pt idx="7">
                  <c:v>99172</c:v>
                </c:pt>
                <c:pt idx="8">
                  <c:v>89083</c:v>
                </c:pt>
                <c:pt idx="9">
                  <c:v>95970</c:v>
                </c:pt>
                <c:pt idx="10">
                  <c:v>105301</c:v>
                </c:pt>
                <c:pt idx="11">
                  <c:v>105241</c:v>
                </c:pt>
                <c:pt idx="12">
                  <c:v>106646</c:v>
                </c:pt>
                <c:pt idx="13">
                  <c:v>105482</c:v>
                </c:pt>
                <c:pt idx="14">
                  <c:v>104320</c:v>
                </c:pt>
                <c:pt idx="15">
                  <c:v>93880</c:v>
                </c:pt>
              </c:numCache>
            </c:numRef>
          </c:val>
          <c:smooth val="0"/>
          <c:extLst>
            <c:ext xmlns:c16="http://schemas.microsoft.com/office/drawing/2014/chart" uri="{C3380CC4-5D6E-409C-BE32-E72D297353CC}">
              <c16:uniqueId val="{00000000-1D65-45FE-8DD3-EF63D59AC43F}"/>
            </c:ext>
          </c:extLst>
        </c:ser>
        <c:dLbls>
          <c:showLegendKey val="0"/>
          <c:showVal val="0"/>
          <c:showCatName val="0"/>
          <c:showSerName val="0"/>
          <c:showPercent val="0"/>
          <c:showBubbleSize val="0"/>
        </c:dLbls>
        <c:smooth val="0"/>
        <c:axId val="1637871824"/>
        <c:axId val="1366078992"/>
      </c:lineChart>
      <c:catAx>
        <c:axId val="1637871824"/>
        <c:scaling>
          <c:orientation val="minMax"/>
        </c:scaling>
        <c:delete val="0"/>
        <c:axPos val="b"/>
        <c:majorGridlines>
          <c:spPr>
            <a:ln w="9525" cap="flat" cmpd="sng" algn="ctr">
              <a:gradFill>
                <a:gsLst>
                  <a:gs pos="100000">
                    <a:schemeClr val="dk1">
                      <a:lumMod val="75000"/>
                      <a:lumOff val="25000"/>
                    </a:schemeClr>
                  </a:gs>
                  <a:gs pos="0">
                    <a:schemeClr val="dk1">
                      <a:lumMod val="65000"/>
                      <a:lumOff val="35000"/>
                    </a:schemeClr>
                  </a:gs>
                </a:gsLst>
                <a:lin ang="5400000" scaled="0"/>
              </a:gra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1366078992"/>
        <c:crosses val="autoZero"/>
        <c:auto val="1"/>
        <c:lblAlgn val="ctr"/>
        <c:lblOffset val="100"/>
        <c:noMultiLvlLbl val="0"/>
      </c:catAx>
      <c:valAx>
        <c:axId val="1366078992"/>
        <c:scaling>
          <c:orientation val="minMax"/>
        </c:scaling>
        <c:delete val="0"/>
        <c:axPos val="l"/>
        <c:majorGridlines>
          <c:spPr>
            <a:ln w="9525" cap="flat" cmpd="sng" algn="ctr">
              <a:gradFill>
                <a:gsLst>
                  <a:gs pos="100000">
                    <a:schemeClr val="dk1">
                      <a:lumMod val="75000"/>
                      <a:lumOff val="25000"/>
                    </a:schemeClr>
                  </a:gs>
                  <a:gs pos="0">
                    <a:schemeClr val="dk1">
                      <a:lumMod val="65000"/>
                      <a:lumOff val="35000"/>
                    </a:schemeClr>
                  </a:gs>
                </a:gsLst>
                <a:lin ang="5400000" scaled="0"/>
              </a:gra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1637871824"/>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dk1">
        <a:lumMod val="75000"/>
        <a:lumOff val="25000"/>
      </a:schemeClr>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Crop Production Comparison – 2016–17</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barChart>
        <c:barDir val="col"/>
        <c:grouping val="clustered"/>
        <c:varyColors val="0"/>
        <c:ser>
          <c:idx val="0"/>
          <c:order val="0"/>
          <c:tx>
            <c:strRef>
              <c:f>Cleaned_Data!$E$27</c:f>
              <c:strCache>
                <c:ptCount val="1"/>
                <c:pt idx="0">
                  <c:v>Production (000 tonnes)</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Cleaned_Data!$D$28:$D$31</c:f>
              <c:strCache>
                <c:ptCount val="4"/>
                <c:pt idx="0">
                  <c:v>Rice</c:v>
                </c:pt>
                <c:pt idx="1">
                  <c:v>Bajra</c:v>
                </c:pt>
                <c:pt idx="2">
                  <c:v>Maize</c:v>
                </c:pt>
                <c:pt idx="3">
                  <c:v>Ragi</c:v>
                </c:pt>
              </c:strCache>
            </c:strRef>
          </c:cat>
          <c:val>
            <c:numRef>
              <c:f>Cleaned_Data!$E$28:$E$31</c:f>
              <c:numCache>
                <c:formatCode>General</c:formatCode>
                <c:ptCount val="4"/>
                <c:pt idx="0">
                  <c:v>93880</c:v>
                </c:pt>
                <c:pt idx="1">
                  <c:v>8550</c:v>
                </c:pt>
                <c:pt idx="2">
                  <c:v>19300</c:v>
                </c:pt>
                <c:pt idx="3">
                  <c:v>1850</c:v>
                </c:pt>
              </c:numCache>
            </c:numRef>
          </c:val>
          <c:extLst>
            <c:ext xmlns:c16="http://schemas.microsoft.com/office/drawing/2014/chart" uri="{C3380CC4-5D6E-409C-BE32-E72D297353CC}">
              <c16:uniqueId val="{00000000-E7EA-4734-B31A-2858062A6E79}"/>
            </c:ext>
          </c:extLst>
        </c:ser>
        <c:dLbls>
          <c:showLegendKey val="0"/>
          <c:showVal val="0"/>
          <c:showCatName val="0"/>
          <c:showSerName val="0"/>
          <c:showPercent val="0"/>
          <c:showBubbleSize val="0"/>
        </c:dLbls>
        <c:gapWidth val="100"/>
        <c:overlap val="-24"/>
        <c:axId val="1652947808"/>
        <c:axId val="1366068432"/>
      </c:barChart>
      <c:catAx>
        <c:axId val="1652947808"/>
        <c:scaling>
          <c:orientation val="minMax"/>
        </c:scaling>
        <c:delete val="0"/>
        <c:axPos val="b"/>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366068432"/>
        <c:crosses val="autoZero"/>
        <c:auto val="1"/>
        <c:lblAlgn val="ctr"/>
        <c:lblOffset val="100"/>
        <c:noMultiLvlLbl val="0"/>
      </c:catAx>
      <c:valAx>
        <c:axId val="1366068432"/>
        <c:scaling>
          <c:orientation val="minMax"/>
        </c:scaling>
        <c:delete val="0"/>
        <c:axPos val="l"/>
        <c:majorGridlines>
          <c:spPr>
            <a:ln w="9525" cap="flat" cmpd="sng" algn="ctr">
              <a:solidFill>
                <a:schemeClr val="lt1">
                  <a:lumMod val="95000"/>
                  <a:alpha val="1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652947808"/>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IN"/>
              <a:t>Crop-wise Production Share (000 tonnes)</a:t>
            </a:r>
          </a:p>
        </c:rich>
      </c:tx>
      <c:layout>
        <c:manualLayout>
          <c:xMode val="edge"/>
          <c:yMode val="edge"/>
          <c:x val="0.11244089175087932"/>
          <c:y val="2.834467120181406E-2"/>
        </c:manualLayout>
      </c:layout>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pieChart>
        <c:varyColors val="1"/>
        <c:ser>
          <c:idx val="0"/>
          <c:order val="0"/>
          <c:tx>
            <c:strRef>
              <c:f>Cleaned_Data!$L$85</c:f>
              <c:strCache>
                <c:ptCount val="1"/>
                <c:pt idx="0">
                  <c:v>Production (000 tonnes)</c:v>
                </c:pt>
              </c:strCache>
            </c:strRef>
          </c:tx>
          <c:dPt>
            <c:idx val="0"/>
            <c:bubble3D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1-6072-4A69-AD8A-BC49FA55DB2E}"/>
              </c:ext>
            </c:extLst>
          </c:dPt>
          <c:dPt>
            <c:idx val="1"/>
            <c:bubble3D val="0"/>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3-6072-4A69-AD8A-BC49FA55DB2E}"/>
              </c:ext>
            </c:extLst>
          </c:dPt>
          <c:dPt>
            <c:idx val="2"/>
            <c:bubble3D val="0"/>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5-6072-4A69-AD8A-BC49FA55DB2E}"/>
              </c:ext>
            </c:extLst>
          </c:dPt>
          <c:dPt>
            <c:idx val="3"/>
            <c:bubble3D val="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7-6072-4A69-AD8A-BC49FA55DB2E}"/>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a:solidFill>
                    <a:schemeClr val="lt1">
                      <a:lumMod val="95000"/>
                      <a:alpha val="54000"/>
                    </a:schemeClr>
                  </a:solidFill>
                </a:ln>
                <a:effectLst/>
              </c:spPr>
            </c:leaderLines>
            <c:extLst>
              <c:ext xmlns:c15="http://schemas.microsoft.com/office/drawing/2012/chart" uri="{CE6537A1-D6FC-4f65-9D91-7224C49458BB}"/>
            </c:extLst>
          </c:dLbls>
          <c:cat>
            <c:strRef>
              <c:f>Cleaned_Data!$K$86:$K$89</c:f>
              <c:strCache>
                <c:ptCount val="4"/>
                <c:pt idx="0">
                  <c:v>Rice</c:v>
                </c:pt>
                <c:pt idx="1">
                  <c:v>Bajra</c:v>
                </c:pt>
                <c:pt idx="2">
                  <c:v>Maize</c:v>
                </c:pt>
                <c:pt idx="3">
                  <c:v>Ragi</c:v>
                </c:pt>
              </c:strCache>
            </c:strRef>
          </c:cat>
          <c:val>
            <c:numRef>
              <c:f>Cleaned_Data!$L$86:$L$89</c:f>
              <c:numCache>
                <c:formatCode>General</c:formatCode>
                <c:ptCount val="4"/>
                <c:pt idx="0">
                  <c:v>93880</c:v>
                </c:pt>
                <c:pt idx="1">
                  <c:v>8550</c:v>
                </c:pt>
                <c:pt idx="2">
                  <c:v>19300</c:v>
                </c:pt>
                <c:pt idx="3">
                  <c:v>1850</c:v>
                </c:pt>
              </c:numCache>
            </c:numRef>
          </c:val>
          <c:extLst>
            <c:ext xmlns:c16="http://schemas.microsoft.com/office/drawing/2014/chart" uri="{C3380CC4-5D6E-409C-BE32-E72D297353CC}">
              <c16:uniqueId val="{00000008-6072-4A69-AD8A-BC49FA55DB2E}"/>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36">
  <cs:axisTitle>
    <cs:lnRef idx="0"/>
    <cs:fillRef idx="0"/>
    <cs:effectRef idx="0"/>
    <cs:fontRef idx="minor">
      <a:schemeClr val="lt1">
        <a:lumMod val="75000"/>
      </a:schemeClr>
    </cs:fontRef>
    <cs:defRPr sz="900" b="1" kern="1200"/>
  </cs:axisTitle>
  <cs:categoryAxis>
    <cs:lnRef idx="0"/>
    <cs:fillRef idx="0"/>
    <cs:effectRef idx="0"/>
    <cs:fontRef idx="minor">
      <a:schemeClr val="lt1">
        <a:lumMod val="75000"/>
      </a:schemeClr>
    </cs:fontRef>
    <cs:defRPr sz="900" kern="1200"/>
  </cs:categoryAxis>
  <cs:chartArea>
    <cs:lnRef idx="0"/>
    <cs:fillRef idx="0"/>
    <cs:effectRef idx="0"/>
    <cs:fontRef idx="minor">
      <a:schemeClr val="dk1"/>
    </cs:fontRef>
    <cs:spPr>
      <a:solidFill>
        <a:schemeClr val="dk1">
          <a:lumMod val="75000"/>
          <a:lumOff val="25000"/>
        </a:schemeClr>
      </a:solidFill>
      <a:ln w="9525" cap="flat" cmpd="sng" algn="ctr">
        <a:solidFill>
          <a:schemeClr val="dk1">
            <a:lumMod val="15000"/>
            <a:lumOff val="85000"/>
          </a:schemeClr>
        </a:solidFill>
        <a:round/>
      </a:ln>
    </cs:spPr>
    <cs:defRPr sz="900" kern="1200"/>
  </cs:chartArea>
  <cs:dataLabel>
    <cs:lnRef idx="0"/>
    <cs:fillRef idx="0"/>
    <cs:effectRef idx="0"/>
    <cs:fontRef idx="minor">
      <a:schemeClr val="lt1">
        <a:lumMod val="75000"/>
      </a:schemeClr>
    </cs:fontRef>
    <cs:defRPr sz="900" kern="1200"/>
  </cs:dataLabel>
  <cs:dataLabelCallout>
    <cs:lnRef idx="0"/>
    <cs:fillRef idx="0"/>
    <cs:effectRef idx="0"/>
    <cs:fontRef idx="minor">
      <a:schemeClr val="lt1">
        <a:lumMod val="15000"/>
        <a:lumOff val="85000"/>
      </a:schemeClr>
    </cs:fontRef>
    <cs:spPr>
      <a:solidFill>
        <a:schemeClr val="dk1">
          <a:lumMod val="65000"/>
          <a:lumOff val="35000"/>
        </a:schemeClr>
      </a:solidFill>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0"/>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
  <cs:dataPoint3D>
    <cs:lnRef idx="0">
      <cs:styleClr val="auto"/>
    </cs:lnRef>
    <cs:fillRef idx="0">
      <cs:styleClr val="auto"/>
    </cs:fillRef>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3D>
  <cs:dataPointLine>
    <cs:lnRef idx="0">
      <cs:styleClr val="auto"/>
    </cs:lnRef>
    <cs:fillRef idx="0">
      <cs:styleClr val="auto"/>
    </cs:fillRef>
    <cs:effectRef idx="0">
      <cs:styleClr val="auto"/>
    </cs:effectRef>
    <cs:fontRef idx="minor">
      <a:schemeClr val="dk1"/>
    </cs:fontRef>
    <cs:spPr>
      <a:ln w="22225" cap="rnd">
        <a:solidFill>
          <a:schemeClr val="phClr"/>
        </a:solidFill>
      </a:ln>
      <a:effectLst>
        <a:glow rad="139700">
          <a:schemeClr val="phClr">
            <a:satMod val="175000"/>
            <a:alpha val="14000"/>
          </a:schemeClr>
        </a:glow>
      </a:effectLst>
    </cs:spPr>
  </cs:dataPointLine>
  <cs:dataPointMarker>
    <cs:lnRef idx="0">
      <cs:styleClr val="auto"/>
    </cs:lnRef>
    <cs:fillRef idx="0">
      <cs:styleClr val="auto"/>
    </cs:fillRef>
    <cs:effectRef idx="0">
      <cs:styleClr val="auto"/>
    </cs:effectRef>
    <cs:fontRef idx="minor">
      <a:schemeClr val="dk1"/>
    </cs:fontRef>
    <cs:spPr>
      <a:solidFill>
        <a:schemeClr val="phClr">
          <a:lumMod val="60000"/>
          <a:lumOff val="40000"/>
        </a:schemeClr>
      </a:solidFill>
      <a:effectLst>
        <a:glow rad="63500">
          <a:schemeClr val="phClr">
            <a:satMod val="175000"/>
            <a:alpha val="25000"/>
          </a:schemeClr>
        </a:glow>
      </a:effectLst>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dk1">
            <a:lumMod val="50000"/>
            <a:lumOff val="50000"/>
          </a:schemeClr>
        </a:solidFill>
      </a:ln>
    </cs:spPr>
    <cs:defRPr sz="900" kern="1200"/>
  </cs:dataTable>
  <cs:downBar>
    <cs:lnRef idx="0"/>
    <cs:fillRef idx="0"/>
    <cs:effectRef idx="0"/>
    <cs:fontRef idx="minor">
      <a:schemeClr val="lt1"/>
    </cs:fontRef>
    <cs:spPr>
      <a:solidFill>
        <a:schemeClr val="dk1">
          <a:lumMod val="50000"/>
          <a:lumOff val="50000"/>
        </a:schemeClr>
      </a:solidFill>
      <a:ln w="9525">
        <a:solidFill>
          <a:schemeClr val="dk1">
            <a:lumMod val="75000"/>
          </a:schemeClr>
        </a:solidFill>
        <a:round/>
      </a:ln>
    </cs:spPr>
  </cs:downBar>
  <cs:dropLine>
    <cs:lnRef idx="0"/>
    <cs:fillRef idx="0"/>
    <cs:effectRef idx="0"/>
    <cs:fontRef idx="minor">
      <a:schemeClr val="dk1"/>
    </cs:fontRef>
    <cs:spPr>
      <a:ln w="9525">
        <a:solidFill>
          <a:schemeClr val="lt1">
            <a:lumMod val="50000"/>
          </a:schemeClr>
        </a:solidFill>
        <a:round/>
      </a:ln>
    </cs:spPr>
  </cs:dropLine>
  <cs:errorBar>
    <cs:lnRef idx="0"/>
    <cs:fillRef idx="0"/>
    <cs:effectRef idx="0"/>
    <cs:fontRef idx="minor">
      <a:schemeClr val="dk1"/>
    </cs:fontRef>
    <cs:spPr>
      <a:ln w="9525">
        <a:solidFill>
          <a:schemeClr val="lt1">
            <a:lumMod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75000"/>
                <a:lumOff val="25000"/>
              </a:schemeClr>
            </a:gs>
            <a:gs pos="0">
              <a:schemeClr val="dk1">
                <a:lumMod val="65000"/>
                <a:lumOff val="35000"/>
              </a:schemeClr>
            </a:gs>
          </a:gsLst>
          <a:lin ang="5400000" scaled="0"/>
        </a:gradFill>
        <a:round/>
      </a:ln>
    </cs:spPr>
  </cs:gridlineMajor>
  <cs:gridlineMinor>
    <cs:lnRef idx="0"/>
    <cs:fillRef idx="0"/>
    <cs:effectRef idx="0"/>
    <cs:fontRef idx="minor">
      <a:schemeClr val="dk1"/>
    </cs:fontRef>
    <cs:spPr>
      <a:ln w="9525" cap="flat" cmpd="sng" algn="ctr">
        <a:gradFill>
          <a:gsLst>
            <a:gs pos="100000">
              <a:schemeClr val="dk1">
                <a:lumMod val="75000"/>
                <a:lumOff val="25000"/>
                <a:alpha val="25000"/>
              </a:schemeClr>
            </a:gs>
            <a:gs pos="0">
              <a:schemeClr val="dk1">
                <a:lumMod val="65000"/>
                <a:lumOff val="35000"/>
                <a:alpha val="25000"/>
              </a:schemeClr>
            </a:gs>
          </a:gsLst>
          <a:lin ang="5400000" scaled="0"/>
        </a:gradFill>
        <a:round/>
      </a:ln>
    </cs:spPr>
  </cs:gridlineMinor>
  <cs:hiLoLine>
    <cs:lnRef idx="0"/>
    <cs:fillRef idx="0"/>
    <cs:effectRef idx="0"/>
    <cs:fontRef idx="minor">
      <a:schemeClr val="dk1"/>
    </cs:fontRef>
    <cs:spPr>
      <a:ln w="9525">
        <a:solidFill>
          <a:schemeClr val="lt1">
            <a:lumMod val="50000"/>
          </a:schemeClr>
        </a:solidFill>
        <a:round/>
      </a:ln>
    </cs:spPr>
  </cs:hiLoLine>
  <cs:leaderLine>
    <cs:lnRef idx="0"/>
    <cs:fillRef idx="0"/>
    <cs:effectRef idx="0"/>
    <cs:fontRef idx="minor">
      <a:schemeClr val="dk1"/>
    </cs:fontRef>
    <cs:spPr>
      <a:ln w="9525">
        <a:solidFill>
          <a:schemeClr val="lt1">
            <a:lumMod val="50000"/>
          </a:schemeClr>
        </a:solidFill>
        <a:round/>
      </a:ln>
    </cs:spPr>
  </cs:leaderLine>
  <cs:legend>
    <cs:lnRef idx="0"/>
    <cs:fillRef idx="0"/>
    <cs:effectRef idx="0"/>
    <cs:fontRef idx="minor">
      <a:schemeClr val="lt1">
        <a:lumMod val="7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lt1">
        <a:lumMod val="75000"/>
      </a:schemeClr>
    </cs:fontRef>
    <cs:defRPr sz="900" kern="1200"/>
  </cs:seriesAxis>
  <cs:seriesLine>
    <cs:lnRef idx="0"/>
    <cs:fillRef idx="0"/>
    <cs:effectRef idx="0"/>
    <cs:fontRef idx="minor">
      <a:schemeClr val="dk1"/>
    </cs:fontRef>
    <cs:spPr>
      <a:ln w="9525">
        <a:solidFill>
          <a:schemeClr val="lt1">
            <a:lumMod val="50000"/>
          </a:schemeClr>
        </a:solidFill>
        <a:round/>
      </a:ln>
    </cs:spPr>
  </cs:seriesLine>
  <cs:title>
    <cs:lnRef idx="0"/>
    <cs:fillRef idx="0"/>
    <cs:effectRef idx="0"/>
    <cs:fontRef idx="minor">
      <a:schemeClr val="lt1">
        <a:lumMod val="85000"/>
      </a:schemeClr>
    </cs:fontRef>
    <cs:defRPr sz="1400" b="1" kern="1200" cap="none" baseline="0"/>
  </cs:title>
  <cs:trendline>
    <cs:lnRef idx="0">
      <cs:styleClr val="auto"/>
    </cs:lnRef>
    <cs:fillRef idx="0"/>
    <cs:effectRef idx="0"/>
    <cs:fontRef idx="minor">
      <a:schemeClr val="lt1"/>
    </cs:fontRef>
    <cs:spPr>
      <a:ln w="25400" cap="rnd">
        <a:solidFill>
          <a:schemeClr val="phClr">
            <a:alpha val="50000"/>
          </a:schemeClr>
        </a:solidFill>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dk1"/>
    </cs:fontRef>
    <cs:spPr>
      <a:solidFill>
        <a:schemeClr val="lt1">
          <a:lumMod val="85000"/>
        </a:schemeClr>
      </a:solidFill>
      <a:ln w="9525">
        <a:solidFill>
          <a:schemeClr val="dk1">
            <a:lumMod val="50000"/>
          </a:schemeClr>
        </a:solidFill>
        <a:round/>
      </a:ln>
    </cs:spPr>
  </cs:upBar>
  <cs:valueAxis>
    <cs:lnRef idx="0"/>
    <cs:fillRef idx="0"/>
    <cs:effectRef idx="0"/>
    <cs:fontRef idx="minor">
      <a:schemeClr val="lt1">
        <a:lumMod val="75000"/>
      </a:schemeClr>
    </cs:fontRef>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09">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lt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lt1"/>
    </cs:fontRef>
    <cs:spPr>
      <a:ln w="9525">
        <a:solidFill>
          <a:schemeClr val="lt1">
            <a:lumMod val="95000"/>
            <a:alpha val="54000"/>
          </a:schemeClr>
        </a:solidFill>
        <a:prstDash val="dash"/>
      </a:ln>
    </cs:spPr>
  </cs:dropLine>
  <cs:errorBar>
    <cs:lnRef idx="0"/>
    <cs:fillRef idx="0"/>
    <cs:effectRef idx="0"/>
    <cs:fontRef idx="minor">
      <a:schemeClr val="lt1"/>
    </cs:fontRef>
    <cs:spPr>
      <a:ln w="9525" cap="flat" cmpd="sng" algn="ctr">
        <a:solidFill>
          <a:schemeClr val="lt1">
            <a:lumMod val="95000"/>
          </a:schemeClr>
        </a:solidFill>
        <a:round/>
      </a:ln>
    </cs:spPr>
  </cs:errorBar>
  <cs:floor>
    <cs:lnRef idx="0"/>
    <cs:fillRef idx="0"/>
    <cs:effectRef idx="0"/>
    <cs:fontRef idx="minor">
      <a:schemeClr val="lt1"/>
    </cs:fontRef>
  </cs:floor>
  <cs:gridlineMajor>
    <cs:lnRef idx="0"/>
    <cs:fillRef idx="0"/>
    <cs:effectRef idx="0"/>
    <cs:fontRef idx="minor">
      <a:schemeClr val="lt1"/>
    </cs:fontRef>
    <cs:spPr>
      <a:ln w="9525" cap="flat" cmpd="sng" algn="ctr">
        <a:solidFill>
          <a:schemeClr val="lt1">
            <a:lumMod val="95000"/>
            <a:alpha val="10000"/>
          </a:schemeClr>
        </a:solidFill>
        <a:round/>
      </a:ln>
    </cs:spPr>
  </cs:gridlineMajor>
  <cs:gridlineMinor>
    <cs:lnRef idx="0"/>
    <cs:fillRef idx="0"/>
    <cs:effectRef idx="0"/>
    <cs:fontRef idx="minor">
      <a:schemeClr val="lt1"/>
    </cs:fontRef>
    <cs:spPr>
      <a:ln>
        <a:solidFill>
          <a:schemeClr val="lt1">
            <a:lumMod val="95000"/>
            <a:alpha val="5000"/>
          </a:schemeClr>
        </a:solidFill>
      </a:ln>
    </cs:spPr>
  </cs:gridlineMinor>
  <cs:hiLoLine>
    <cs:lnRef idx="0"/>
    <cs:fillRef idx="0"/>
    <cs:effectRef idx="0"/>
    <cs:fontRef idx="minor">
      <a:schemeClr val="lt1"/>
    </cs:fontRef>
    <cs:spPr>
      <a:ln w="9525">
        <a:solidFill>
          <a:schemeClr val="lt1">
            <a:lumMod val="95000"/>
            <a:alpha val="54000"/>
          </a:schemeClr>
        </a:solidFill>
        <a:prstDash val="dash"/>
      </a:ln>
    </cs:spPr>
  </cs:hiLoLine>
  <cs:leaderLine>
    <cs:lnRef idx="0"/>
    <cs:fillRef idx="0"/>
    <cs:effectRef idx="0"/>
    <cs:fontRef idx="minor">
      <a:schemeClr val="lt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lt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lt1"/>
    </cs:fontRef>
  </cs:wall>
</cs:chartStyle>
</file>

<file path=word/charts/style3.xml><?xml version="1.0" encoding="utf-8"?>
<cs:chartStyle xmlns:cs="http://schemas.microsoft.com/office/drawing/2012/chartStyle" xmlns:a="http://schemas.openxmlformats.org/drawingml/2006/main" id="257">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70</TotalTime>
  <Pages>3</Pages>
  <Words>949</Words>
  <Characters>5414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 jangam</dc:creator>
  <cp:keywords/>
  <dc:description/>
  <cp:lastModifiedBy>vivek jangam</cp:lastModifiedBy>
  <cp:revision>1</cp:revision>
  <dcterms:created xsi:type="dcterms:W3CDTF">2026-08-19T09:43:00Z</dcterms:created>
  <dcterms:modified xsi:type="dcterms:W3CDTF">2026-08-19T11:08:00Z</dcterms:modified>
</cp:coreProperties>
</file>