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E9B3" w14:textId="77777777" w:rsidR="004B79D3" w:rsidRDefault="00000000" w:rsidP="00183441">
      <w:r>
        <w:t>Cooling Period Minimization and Sleep–Wake Coverage Optimization in Heterogeneous WSNs for Smart Farming</w:t>
      </w:r>
    </w:p>
    <w:p w14:paraId="1AB86EA4" w14:textId="23E70DC6" w:rsidR="004B79D3" w:rsidRDefault="00000000" w:rsidP="00183441">
      <w:r>
        <w:br/>
      </w:r>
    </w:p>
    <w:p w14:paraId="307951BC" w14:textId="77777777" w:rsidR="004B79D3" w:rsidRDefault="00000000" w:rsidP="00183441">
      <w:pPr>
        <w:pStyle w:val="Heading1"/>
      </w:pPr>
      <w:r>
        <w:rPr>
          <w:rFonts w:ascii="Times New Roman" w:eastAsia="Times New Roman" w:hAnsi="Times New Roman"/>
          <w:sz w:val="24"/>
        </w:rPr>
        <w:t>Proposed Methodology</w:t>
      </w:r>
    </w:p>
    <w:p w14:paraId="39417011" w14:textId="77777777" w:rsidR="004B79D3" w:rsidRDefault="00000000" w:rsidP="00183441">
      <w:r>
        <w:t>Problem Setting and Overview</w:t>
      </w:r>
      <w:r>
        <w:br/>
        <w:t>We investigate a heterogeneous WSN deployed over a 500 m × 500 m farm with N = 200 nodes (80% normal, 20% advanced).</w:t>
      </w:r>
      <w:r>
        <w:br/>
        <w:t>The field is partitioned into five regions (northwest, northeast, central, southwest, southeast) with a centrally located base station (BS).</w:t>
      </w:r>
      <w:r>
        <w:br/>
        <w:t>The method minimizes cooling periods (post-transmission rest intervals), reduces redundant sensing, and sustains coverage</w:t>
      </w:r>
      <w:r>
        <w:br/>
        <w:t>through three tightly coupled components: (i) cooling-aware CH selection, (ii) cooling-aware multi-hop routing, and</w:t>
      </w:r>
      <w:r>
        <w:br/>
        <w:t>(iii) redundancy-driven sleep–wake coverage optimization with adaptive sensing radius.</w:t>
      </w:r>
      <w:r>
        <w:br/>
      </w:r>
      <w:r>
        <w:br/>
        <w:t>Mathematical Model (key terms)</w:t>
      </w:r>
      <w:r>
        <w:br/>
        <w:t>• Heterogeneous energy: NoN: E0; AdN: E0(1 + α). Total factor Et = n·E0·(1 + m·α).</w:t>
      </w:r>
      <w:r>
        <w:br/>
        <w:t>• Cooling time: CoolingTime(i) = max(0, LastTx(i) + MinRest − t).</w:t>
      </w:r>
      <w:r>
        <w:br/>
        <w:t>• Radius control: S'(i) = S(i) − min_j(S(i)+S(j) − d_ij) + AdaptiveBoost(i).</w:t>
      </w:r>
      <w:r>
        <w:br/>
        <w:t>• CH cost: Cost_CH(i) = α·Dist(i,BS)/Dmax + β·(Emax−RE(i))/Emax + γ·1/(1+|N(i)|) + δ·CoolingTime(i)/MinRest.</w:t>
      </w:r>
      <w:r>
        <w:br/>
        <w:t>• Tx energy: E_tx = E_elec·k + ε_amp·k·d^2.</w:t>
      </w:r>
      <w:r>
        <w:br/>
      </w:r>
      <w:r>
        <w:br/>
        <w:t>Cooling-Aware Clustering and Routing with Sleep–Wake (pseudo-code)</w:t>
      </w:r>
      <w:r>
        <w:br/>
        <w:t>1. Initialize radii, energy, and region assignments.</w:t>
      </w:r>
      <w:r>
        <w:br/>
        <w:t>2. For each round t:</w:t>
      </w:r>
      <w:r>
        <w:br/>
        <w:t xml:space="preserve">   a) Update CoolingTime and neighbors; adjust S(i) using overlap.</w:t>
      </w:r>
      <w:r>
        <w:br/>
        <w:t xml:space="preserve">   b) Select one CH per region by minimizing Cost_CH; exclude nodes in critical cooling.</w:t>
      </w:r>
      <w:r>
        <w:br/>
        <w:t xml:space="preserve">   c) Assign members to CHs (prefer same region).</w:t>
      </w:r>
      <w:r>
        <w:br/>
        <w:t xml:space="preserve">   d) Route member→CH and CH→BS with cooling-aware shortest paths; avoid nodes that cannot transmit.</w:t>
      </w:r>
      <w:r>
        <w:br/>
        <w:t xml:space="preserve">   e) Sleep–wake: rank redundant nodes by overlap, energy and cooling; put top-K to sleep; reduce S(i) for moderate redundancy.</w:t>
      </w:r>
      <w:r>
        <w:br/>
        <w:t xml:space="preserve">   f) Record coverage, energy, routing efficiency, and cooling violations.</w:t>
      </w:r>
      <w:r>
        <w:br/>
      </w:r>
    </w:p>
    <w:p w14:paraId="1E74FCB1" w14:textId="77777777" w:rsidR="004B79D3" w:rsidRDefault="00000000" w:rsidP="00183441">
      <w:pPr>
        <w:pStyle w:val="Heading1"/>
      </w:pPr>
      <w:r>
        <w:rPr>
          <w:rFonts w:ascii="Times New Roman" w:eastAsia="Times New Roman" w:hAnsi="Times New Roman"/>
          <w:sz w:val="24"/>
        </w:rPr>
        <w:lastRenderedPageBreak/>
        <w:t>Results &amp; Discussion</w:t>
      </w:r>
    </w:p>
    <w:p w14:paraId="090ED4D7" w14:textId="77777777" w:rsidR="004B79D3" w:rsidRDefault="00000000" w:rsidP="00183441">
      <w:r>
        <w:t>Results and Discussion</w:t>
      </w:r>
      <w:r>
        <w:br/>
        <w:t>Network scale: 200 nodes; five-region architecture; central BS. Simulation trends and summary metrics show consistent gains.</w:t>
      </w:r>
      <w:r>
        <w:br/>
      </w:r>
      <w:r>
        <w:br/>
        <w:t>Key metrics (means ± sd where available):</w:t>
      </w:r>
      <w:r>
        <w:br/>
        <w:t>• Energy efficiency: 85.4% ± 2.1 (vs LEACH 65.2%).</w:t>
      </w:r>
      <w:r>
        <w:br/>
        <w:t>• Network lifetime: 324 ± 18.2 rounds (vs LEACH 180).</w:t>
      </w:r>
      <w:r>
        <w:br/>
        <w:t>• Coverage maintenance: 89.6% ± 2.4 (vs LEACH 70.3%).</w:t>
      </w:r>
      <w:r>
        <w:br/>
        <w:t>• Packet delivery ratio: 0.973 ± 0.012; lower delay and higher throughput than baselines.</w:t>
      </w:r>
      <w:r>
        <w:br/>
        <w:t>• Energy per round: 0.0847 J (vs LEACH 0.1523 J).</w:t>
      </w:r>
      <w:r>
        <w:br/>
        <w:t>• Cluster formation time: 12.4 ms (−47.9% vs LEACH).</w:t>
      </w:r>
      <w:r>
        <w:br/>
      </w:r>
      <w:r>
        <w:br/>
        <w:t>Interpretation</w:t>
      </w:r>
      <w:r>
        <w:br/>
        <w:t>Cooling-aware CH selection avoids constrained nodes, reducing churn and idle penalties.</w:t>
      </w:r>
      <w:r>
        <w:br/>
        <w:t>Routing steers around cooling nodes, improving PDR and delay.</w:t>
      </w:r>
      <w:r>
        <w:br/>
        <w:t>Sleep–wake with radius adaptation trims overlap while preserving coverage, explaining energy and lifetime gains.</w:t>
      </w:r>
      <w:r>
        <w:br/>
      </w:r>
      <w:r>
        <w:br/>
        <w:t>Limitations</w:t>
      </w:r>
      <w:r>
        <w:br/>
        <w:t>Propagation and MAC effects are simplified; future work should include interference-aware routing, duty-cycling protocols,</w:t>
      </w:r>
      <w:r>
        <w:br/>
        <w:t>and validation on hardware testbeds with real agronomic workloads.</w:t>
      </w:r>
      <w:r>
        <w:br/>
      </w:r>
    </w:p>
    <w:p w14:paraId="1907FAF9" w14:textId="77777777" w:rsidR="004B79D3" w:rsidRDefault="00000000" w:rsidP="00183441">
      <w:pPr>
        <w:pStyle w:val="Heading1"/>
      </w:pPr>
      <w:r>
        <w:rPr>
          <w:rFonts w:ascii="Times New Roman" w:eastAsia="Times New Roman" w:hAnsi="Times New Roman"/>
          <w:sz w:val="24"/>
        </w:rPr>
        <w:lastRenderedPageBreak/>
        <w:t>Figures from Notebook (600 dpi)</w:t>
      </w:r>
    </w:p>
    <w:p w14:paraId="6233E524" w14:textId="77777777" w:rsidR="004B79D3" w:rsidRDefault="00000000" w:rsidP="00183441">
      <w:r>
        <w:rPr>
          <w:noProof/>
        </w:rPr>
        <w:drawing>
          <wp:inline distT="0" distB="0" distL="0" distR="0" wp14:anchorId="4965776A" wp14:editId="54A2F267">
            <wp:extent cx="5943600" cy="4746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893D" w14:textId="77777777" w:rsidR="004B79D3" w:rsidRDefault="00000000" w:rsidP="00183441">
      <w:r>
        <w:t>Figure 1. Notebook-generated visualization.</w:t>
      </w:r>
    </w:p>
    <w:p w14:paraId="6F9FF054" w14:textId="77777777" w:rsidR="004B79D3" w:rsidRDefault="00000000" w:rsidP="00183441">
      <w:r>
        <w:rPr>
          <w:noProof/>
        </w:rPr>
        <w:lastRenderedPageBreak/>
        <w:drawing>
          <wp:inline distT="0" distB="0" distL="0" distR="0" wp14:anchorId="0A3A2B8B" wp14:editId="74A529F7">
            <wp:extent cx="5943600" cy="4230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A6D" w14:textId="77777777" w:rsidR="004B79D3" w:rsidRDefault="00000000" w:rsidP="00183441">
      <w:r>
        <w:t>Figure 2. Notebook-generated visualization.</w:t>
      </w:r>
    </w:p>
    <w:p w14:paraId="06A3E7CE" w14:textId="77777777" w:rsidR="004B79D3" w:rsidRDefault="00000000" w:rsidP="00183441">
      <w:r>
        <w:rPr>
          <w:noProof/>
        </w:rPr>
        <w:lastRenderedPageBreak/>
        <w:drawing>
          <wp:inline distT="0" distB="0" distL="0" distR="0" wp14:anchorId="7F47EAF4" wp14:editId="050D8702">
            <wp:extent cx="5943600" cy="444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7525" w14:textId="77777777" w:rsidR="004B79D3" w:rsidRDefault="00000000" w:rsidP="00183441">
      <w:r>
        <w:t>Figure 3. Notebook-generated visualization.</w:t>
      </w:r>
    </w:p>
    <w:p w14:paraId="019AE5D6" w14:textId="77777777" w:rsidR="004B79D3" w:rsidRDefault="00000000" w:rsidP="00183441">
      <w:r>
        <w:rPr>
          <w:noProof/>
        </w:rPr>
        <w:lastRenderedPageBreak/>
        <w:drawing>
          <wp:inline distT="0" distB="0" distL="0" distR="0" wp14:anchorId="73010EA5" wp14:editId="0A9BD59E">
            <wp:extent cx="5943600" cy="444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EA9B" w14:textId="77777777" w:rsidR="004B79D3" w:rsidRDefault="00000000" w:rsidP="00183441">
      <w:r>
        <w:t>Figure 4. Notebook-generated visualization.</w:t>
      </w:r>
    </w:p>
    <w:p w14:paraId="16880811" w14:textId="77777777" w:rsidR="004B79D3" w:rsidRDefault="00000000" w:rsidP="00183441">
      <w:pPr>
        <w:pStyle w:val="Heading1"/>
      </w:pPr>
      <w:r>
        <w:rPr>
          <w:rFonts w:ascii="Times New Roman" w:eastAsia="Times New Roman" w:hAnsi="Times New Roman"/>
          <w:sz w:val="24"/>
        </w:rPr>
        <w:t>Conclusion</w:t>
      </w:r>
    </w:p>
    <w:p w14:paraId="7BAA254A" w14:textId="77777777" w:rsidR="004B79D3" w:rsidRDefault="00000000" w:rsidP="00183441">
      <w:r>
        <w:t>Conclusion</w:t>
      </w:r>
      <w:r>
        <w:br/>
        <w:t>We proposed an integrated pipeline combining cooling-aware clustering, routing, and redundancy-driven sleep–wake control.</w:t>
      </w:r>
      <w:r>
        <w:br/>
        <w:t>Across five-region simulations, the method improves energy efficiency (+31%), extends lifetime (+80%), and maintains ~89.6% coverage</w:t>
      </w:r>
      <w:r>
        <w:br/>
        <w:t>with 0.973 PDR, while lowering per-round energy and formation time. The approach is well-suited for robust, scalable smart farming deployments.</w:t>
      </w:r>
      <w:r>
        <w:br/>
      </w:r>
    </w:p>
    <w:sectPr w:rsidR="004B7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768458">
    <w:abstractNumId w:val="8"/>
  </w:num>
  <w:num w:numId="2" w16cid:durableId="1210604028">
    <w:abstractNumId w:val="6"/>
  </w:num>
  <w:num w:numId="3" w16cid:durableId="652637771">
    <w:abstractNumId w:val="5"/>
  </w:num>
  <w:num w:numId="4" w16cid:durableId="819614289">
    <w:abstractNumId w:val="4"/>
  </w:num>
  <w:num w:numId="5" w16cid:durableId="345908533">
    <w:abstractNumId w:val="7"/>
  </w:num>
  <w:num w:numId="6" w16cid:durableId="1558860353">
    <w:abstractNumId w:val="3"/>
  </w:num>
  <w:num w:numId="7" w16cid:durableId="1363822244">
    <w:abstractNumId w:val="2"/>
  </w:num>
  <w:num w:numId="8" w16cid:durableId="1397513133">
    <w:abstractNumId w:val="1"/>
  </w:num>
  <w:num w:numId="9" w16cid:durableId="146619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43F"/>
    <w:rsid w:val="0015074B"/>
    <w:rsid w:val="00183441"/>
    <w:rsid w:val="0029639D"/>
    <w:rsid w:val="00326F90"/>
    <w:rsid w:val="004B79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589D7"/>
  <w14:defaultImageDpi w14:val="300"/>
  <w15:docId w15:val="{44916912-9C22-7943-AD35-4A2B1744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Jindal</cp:lastModifiedBy>
  <cp:revision>2</cp:revision>
  <dcterms:created xsi:type="dcterms:W3CDTF">2013-12-23T23:15:00Z</dcterms:created>
  <dcterms:modified xsi:type="dcterms:W3CDTF">2025-10-03T14:27:00Z</dcterms:modified>
  <cp:category/>
</cp:coreProperties>
</file>