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600"/>
              <w:left w:type="dxa" w:w="600"/>
              <w:bottom w:type="dxa" w:w="200"/>
              <w:right w:type="dxa" w:w="600"/>
            </w:tcMar>
          </w:tcPr>
          <w:p>
            <w:pPr>
              <w:jc w:val="left"/>
            </w:pPr>
            <w:r>
              <w:rPr>
                <w:rFonts w:ascii="Arial" w:cs="Arial" w:eastAsia="Arial" w:hAnsi="Arial"/>
                <w:b w:val="false"/>
                <w:bCs w:val="false"/>
                <w:caps/>
                <w:color w:val="99B8D4"/>
                <w:sz w:val="18"/>
                <w:szCs w:val="18"/>
              </w:rPr>
              <w:t xml:space="preserve">BNPB  ·  INARIS PLATFORM</w:t>
            </w:r>
          </w:p>
          <w:p>
            <w:pPr>
              <w:spacing w:before="120"/>
              <w:jc w:val="left"/>
            </w:pPr>
            <w:r>
              <w:rPr>
                <w:rFonts w:ascii="Arial" w:cs="Arial" w:eastAsia="Arial" w:hAnsi="Arial"/>
                <w:b/>
                <w:bCs/>
                <w:color w:val="FFFFFF"/>
                <w:sz w:val="56"/>
                <w:szCs w:val="56"/>
              </w:rPr>
              <w:t xml:space="preserve">TECHNICAL MEETING</w:t>
            </w:r>
          </w:p>
          <w:p>
            <w:pPr>
              <w:spacing w:before="60"/>
              <w:jc w:val="left"/>
            </w:pPr>
            <w:r>
              <w:rPr>
                <w:rFonts w:ascii="Arial" w:cs="Arial" w:eastAsia="Arial" w:hAnsi="Arial"/>
                <w:b w:val="false"/>
                <w:bCs w:val="false"/>
                <w:color w:val="7FB3D3"/>
                <w:sz w:val="48"/>
                <w:szCs w:val="48"/>
              </w:rPr>
              <w:t xml:space="preserve">MINUTES OF MEETING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none" w:color="FFFFFF" w:sz="0"/>
              <w:left w:val="none" w:color="FFFFFF" w:sz="0"/>
              <w:bottom w:val="none" w:color="FFFFFF" w:sz="0"/>
              <w:right w:val="none" w:color="FFFFFF" w:sz="0"/>
            </w:tcBorders>
            <w:shd w:fill="E07B39" w:val="clear"/>
            <w:tcMar>
              <w:top w:type="dxa" w:w="120"/>
              <w:left w:type="dxa" w:w="0"/>
              <w:bottom w:type="dxa" w:w="120"/>
              <w:right w:type="dxa" w:w="0"/>
            </w:tcMar>
          </w:tcPr>
          <w:p>
            <w:r>
              <w:t xml:space="preserve"/>
            </w:r>
          </w:p>
        </w:tc>
        <w:tc>
          <w:tcPr>
            <w:tcBorders>
              <w:top w:val="none" w:color="FFFFFF" w:sz="0"/>
              <w:left w:val="none" w:color="FFFFFF" w:sz="0"/>
              <w:bottom w:val="none" w:color="FFFFFF" w:sz="0"/>
              <w:right w:val="none" w:color="FFFFFF" w:sz="0"/>
            </w:tcBorders>
            <w:shd w:fill="2E75B6" w:val="clear"/>
            <w:tcMar>
              <w:top w:type="dxa" w:w="120"/>
              <w:left w:type="dxa" w:w="0"/>
              <w:bottom w:type="dxa" w:w="120"/>
              <w:right w:type="dxa" w:w="0"/>
            </w:tcMar>
          </w:tcPr>
          <w:p>
            <w:r>
              <w:t xml:space="preserve"/>
            </w:r>
          </w:p>
        </w:tc>
      </w:tr>
    </w:tbl>
    <w:p>
      <w:pPr>
        <w:spacing w:after="40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2"/>
              <w:left w:val="single" w:color="2E75B6" w:sz="12"/>
              <w:bottom w:val="none" w:color="FFFFFF" w:sz="0"/>
              <w:right w:val="none" w:color="FFFFFF" w:sz="0"/>
            </w:tcBorders>
            <w:shd w:fill="F2F4F7" w:val="clear"/>
            <w:tcMar>
              <w:top w:type="dxa" w:w="300"/>
              <w:left w:type="dxa" w:w="400"/>
              <w:bottom w:type="dxa" w:w="300"/>
              <w:right w:type="dxa" w:w="400"/>
            </w:tcMar>
          </w:tcPr>
          <w:p>
            <w:r>
              <w:rPr>
                <w:rFonts w:ascii="Arial" w:cs="Arial" w:eastAsia="Arial" w:hAnsi="Arial"/>
                <w:b/>
                <w:bCs/>
                <w:caps/>
                <w:color w:val="2E75B6"/>
                <w:sz w:val="18"/>
                <w:szCs w:val="18"/>
              </w:rPr>
              <w:t xml:space="preserve">SESSION OVERVIEW</w:t>
            </w:r>
          </w:p>
          <w:p>
            <w:pPr>
              <w:spacing w:after="60" w:before="6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bCs/>
                      <w:color w:val="1B4F8A"/>
                      <w:sz w:val="20"/>
                      <w:szCs w:val="20"/>
                    </w:rPr>
                    <w:t xml:space="preserve">Classification</w:t>
                  </w:r>
                </w:p>
              </w:tc>
              <w:tc>
                <w:tcPr>
                  <w:tcW w:type="dxa" w:w="7160"/>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color w:val="374151"/>
                      <w:sz w:val="20"/>
                      <w:szCs w:val="20"/>
                    </w:rPr>
                    <w:t xml:space="preserve">Internal Technical — Restricted</w:t>
                  </w:r>
                </w:p>
              </w:tc>
            </w:tr>
            <w:tr>
              <w:tc>
                <w:tcPr>
                  <w:tcW w:type="dxa" w:w="220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bCs/>
                      <w:color w:val="1B4F8A"/>
                      <w:sz w:val="20"/>
                      <w:szCs w:val="20"/>
                    </w:rPr>
                    <w:t xml:space="preserve">Meeting Type</w:t>
                  </w:r>
                </w:p>
              </w:tc>
              <w:tc>
                <w:tcPr>
                  <w:tcW w:type="dxa" w:w="7160"/>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color w:val="374151"/>
                      <w:sz w:val="20"/>
                      <w:szCs w:val="20"/>
                    </w:rPr>
                    <w:t xml:space="preserve">Follow-up Review &amp; Preparation</w:t>
                  </w:r>
                </w:p>
              </w:tc>
            </w:tr>
            <w:tr>
              <w:tc>
                <w:tcPr>
                  <w:tcW w:type="dxa" w:w="220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bCs/>
                      <w:color w:val="1B4F8A"/>
                      <w:sz w:val="20"/>
                      <w:szCs w:val="20"/>
                    </w:rPr>
                    <w:t xml:space="preserve">Previous Meeting</w:t>
                  </w:r>
                </w:p>
              </w:tc>
              <w:tc>
                <w:tcPr>
                  <w:tcW w:type="dxa" w:w="7160"/>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color w:val="374151"/>
                      <w:sz w:val="20"/>
                      <w:szCs w:val="20"/>
                    </w:rPr>
                    <w:t xml:space="preserve">Bandung Review Session with Pak Kapus</w:t>
                  </w:r>
                </w:p>
              </w:tc>
            </w:tr>
            <w:tr>
              <w:tc>
                <w:tcPr>
                  <w:tcW w:type="dxa" w:w="220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bCs/>
                      <w:color w:val="1B4F8A"/>
                      <w:sz w:val="20"/>
                      <w:szCs w:val="20"/>
                    </w:rPr>
                    <w:t xml:space="preserve">Next Session</w:t>
                  </w:r>
                </w:p>
              </w:tc>
              <w:tc>
                <w:tcPr>
                  <w:tcW w:type="dxa" w:w="7160"/>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color w:val="374151"/>
                      <w:sz w:val="20"/>
                      <w:szCs w:val="20"/>
                    </w:rPr>
                    <w:t xml:space="preserve">BSD Presentation (approx. 14:00 – 15:00)</w:t>
                  </w:r>
                </w:p>
              </w:tc>
            </w:tr>
            <w:tr>
              <w:tc>
                <w:tcPr>
                  <w:tcW w:type="dxa" w:w="220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bCs/>
                      <w:color w:val="1B4F8A"/>
                      <w:sz w:val="20"/>
                      <w:szCs w:val="20"/>
                    </w:rPr>
                    <w:t xml:space="preserve">Platform Focus</w:t>
                  </w:r>
                </w:p>
              </w:tc>
              <w:tc>
                <w:tcPr>
                  <w:tcW w:type="dxa" w:w="7160"/>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color w:val="374151"/>
                      <w:sz w:val="20"/>
                      <w:szCs w:val="20"/>
                    </w:rPr>
                    <w:t xml:space="preserve">Inaris Disaster Dissemination System</w:t>
                  </w:r>
                </w:p>
              </w:tc>
            </w:tr>
            <w:tr>
              <w:tc>
                <w:tcPr>
                  <w:tcW w:type="dxa" w:w="220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bCs/>
                      <w:color w:val="1B4F8A"/>
                      <w:sz w:val="20"/>
                      <w:szCs w:val="20"/>
                    </w:rPr>
                    <w:t xml:space="preserve">Stakeholders</w:t>
                  </w:r>
                </w:p>
              </w:tc>
              <w:tc>
                <w:tcPr>
                  <w:tcW w:type="dxa" w:w="7160"/>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color w:val="374151"/>
                      <w:sz w:val="20"/>
                      <w:szCs w:val="20"/>
                    </w:rPr>
                    <w:t xml:space="preserve">MSN, LTI, NTT, BNPB Technical Teams</w:t>
                  </w:r>
                </w:p>
              </w:tc>
            </w:tr>
            <w:tr>
              <w:tc>
                <w:tcPr>
                  <w:tcW w:type="dxa" w:w="220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bCs/>
                      <w:color w:val="1B4F8A"/>
                      <w:sz w:val="20"/>
                      <w:szCs w:val="20"/>
                    </w:rPr>
                    <w:t xml:space="preserve">Prepared By</w:t>
                  </w:r>
                </w:p>
              </w:tc>
              <w:tc>
                <w:tcPr>
                  <w:tcW w:type="dxa" w:w="7160"/>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color w:val="374151"/>
                      <w:sz w:val="20"/>
                      <w:szCs w:val="20"/>
                    </w:rPr>
                    <w:t xml:space="preserve">MSN Team</w:t>
                  </w:r>
                </w:p>
              </w:tc>
            </w:tr>
            <w:tr>
              <w:tc>
                <w:tcPr>
                  <w:tcW w:type="dxa" w:w="220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bCs/>
                      <w:color w:val="1B4F8A"/>
                      <w:sz w:val="20"/>
                      <w:szCs w:val="20"/>
                    </w:rPr>
                    <w:t xml:space="preserve">Language</w:t>
                  </w:r>
                </w:p>
              </w:tc>
              <w:tc>
                <w:tcPr>
                  <w:tcW w:type="dxa" w:w="7160"/>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color w:val="374151"/>
                      <w:sz w:val="20"/>
                      <w:szCs w:val="20"/>
                    </w:rPr>
                    <w:t xml:space="preserve">Bahasa Indonesia → Translated to English</w:t>
                  </w:r>
                </w:p>
              </w:tc>
            </w:tr>
          </w:tbl>
          <w:p/>
        </w:tc>
      </w:tr>
    </w:tbl>
    <w:p>
      <w:pPr>
        <w:spacing w:after="500" w:before="5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200"/>
              <w:left w:type="dxa" w:w="400"/>
              <w:bottom w:type="dxa" w:w="200"/>
              <w:right w:type="dxa" w:w="400"/>
            </w:tcMar>
          </w:tcPr>
          <w:p>
            <w:pPr>
              <w:jc w:val="center"/>
            </w:pPr>
            <w:r>
              <w:rPr>
                <w:rFonts w:ascii="Arial" w:cs="Arial" w:eastAsia="Arial" w:hAnsi="Arial"/>
                <w:i/>
                <w:iCs/>
                <w:color w:val="BDD7EE"/>
                <w:sz w:val="20"/>
                <w:szCs w:val="20"/>
              </w:rPr>
              <w:t xml:space="preserve">Disaster Early Warning  ·  Information Dissemination  ·  Real-time Tracking</w:t>
            </w:r>
          </w:p>
        </w:tc>
      </w:tr>
    </w:tbl>
    <w:p>
      <w:r>
        <w:br w:type="page"/>
      </w:r>
    </w:p>
    <w:p>
      <w:pPr>
        <w:sectPr>
          <w:pgSz w:w="12240" w:h="15840" w:orient="portrait"/>
          <w:pgMar w:top="1000" w:right="1000" w:bottom="1000" w:left="1000" w:header="708" w:footer="708" w:gutter="0"/>
          <w:pgNumType/>
          <w:docGrid w:linePitch="360"/>
        </w:sectPr>
      </w:pPr>
    </w:p>
    <w:p>
      <w:pPr>
        <w:pStyle w:val="Heading1"/>
      </w:pPr>
      <w:r>
        <w:rPr>
          <w:b/>
          <w:bCs/>
          <w:color w:val="0D1B2A"/>
        </w:rPr>
        <w:t xml:space="preserve">1. Meeting Context</w:t>
      </w:r>
    </w:p>
    <w:p>
      <w:pPr>
        <w:pBdr>
          <w:bottom w:val="single" w:color="2E75B6" w:sz="6" w:space="1"/>
        </w:pBdr>
        <w:spacing w:after="100" w:before="160"/>
      </w:pPr>
    </w:p>
    <w:p>
      <w:pPr>
        <w:spacing w:after="60" w:before="60"/>
        <w:jc w:val="left"/>
      </w:pPr>
      <w:r>
        <w:rPr>
          <w:rFonts w:ascii="Arial" w:cs="Arial" w:eastAsia="Arial" w:hAnsi="Arial"/>
          <w:color w:val="374151"/>
          <w:sz w:val="22"/>
          <w:szCs w:val="22"/>
        </w:rPr>
        <w:t xml:space="preserve">This document captures the minutes of an internal follow-up session conducted after the in-person meeting held in Bandung with Pak Kapus (Director/Head). The recording was initiated to ensure no action items or key feedback points were lost. The team is preparing for the next presentation in BSD scheduled for approximately 14:00–15:00.</w:t>
      </w:r>
    </w:p>
    <w:p>
      <w:pPr>
        <w:spacing w:after="60" w:before="60"/>
      </w:pPr>
      <w:r>
        <w:t xml:space="preserve"/>
      </w:r>
    </w:p>
    <w:p>
      <w:pPr>
        <w:spacing w:after="60" w:before="60"/>
        <w:jc w:val="left"/>
      </w:pPr>
      <w:r>
        <w:rPr>
          <w:rFonts w:ascii="Arial" w:cs="Arial" w:eastAsia="Arial" w:hAnsi="Arial"/>
          <w:color w:val="374151"/>
          <w:sz w:val="22"/>
          <w:szCs w:val="22"/>
        </w:rPr>
        <w:t xml:space="preserve">Attendees are requested to verify and correct any points that may have been inaccurately captured. Pak Kapus emphasized multiple times during the Bandung meeting that all key points must be documented in writing.</w:t>
      </w:r>
    </w:p>
    <w:p>
      <w:pPr>
        <w:spacing w:after="100" w:before="100"/>
      </w:pPr>
      <w:r>
        <w:t xml:space="preserve"/>
      </w:r>
    </w:p>
    <w:p>
      <w:pPr>
        <w:pStyle w:val="Heading1"/>
      </w:pPr>
      <w:r>
        <w:rPr>
          <w:b/>
          <w:bCs/>
          <w:color w:val="0D1B2A"/>
        </w:rPr>
        <w:t xml:space="preserve">2. Purpose of This Session</w:t>
      </w:r>
    </w:p>
    <w:p>
      <w:pPr>
        <w:pBdr>
          <w:bottom w:val="single" w:color="2E75B6" w:sz="6" w:space="1"/>
        </w:pBdr>
        <w:spacing w:after="100" w:before="160"/>
      </w:pPr>
    </w:p>
    <w:p>
      <w:pPr>
        <w:pStyle w:val="ListParagraph"/>
        <w:numPr>
          <w:ilvl w:val="0"/>
          <w:numId w:val="2"/>
        </w:numPr>
        <w:spacing w:after="40" w:before="40"/>
      </w:pPr>
      <w:r>
        <w:rPr>
          <w:rFonts w:ascii="Arial" w:cs="Arial" w:eastAsia="Arial" w:hAnsi="Arial"/>
          <w:b w:val="false"/>
          <w:bCs w:val="false"/>
          <w:color w:val="374151"/>
          <w:sz w:val="22"/>
          <w:szCs w:val="22"/>
        </w:rPr>
        <w:t xml:space="preserve">Recap key feedback and directives from Pak Kapus given during the Bandung session.</w:t>
      </w:r>
    </w:p>
    <w:p>
      <w:pPr>
        <w:pStyle w:val="ListParagraph"/>
        <w:numPr>
          <w:ilvl w:val="0"/>
          <w:numId w:val="2"/>
        </w:numPr>
        <w:spacing w:after="40" w:before="40"/>
      </w:pPr>
      <w:r>
        <w:rPr>
          <w:rFonts w:ascii="Arial" w:cs="Arial" w:eastAsia="Arial" w:hAnsi="Arial"/>
          <w:b w:val="false"/>
          <w:bCs w:val="false"/>
          <w:color w:val="374151"/>
          <w:sz w:val="22"/>
          <w:szCs w:val="22"/>
        </w:rPr>
        <w:t xml:space="preserve">Identify which points from the Minutes of Meeting (MOM) are ready for presentation.</w:t>
      </w:r>
    </w:p>
    <w:p>
      <w:pPr>
        <w:pStyle w:val="ListParagraph"/>
        <w:numPr>
          <w:ilvl w:val="0"/>
          <w:numId w:val="2"/>
        </w:numPr>
        <w:spacing w:after="40" w:before="40"/>
      </w:pPr>
      <w:r>
        <w:rPr>
          <w:rFonts w:ascii="Arial" w:cs="Arial" w:eastAsia="Arial" w:hAnsi="Arial"/>
          <w:b w:val="false"/>
          <w:bCs w:val="false"/>
          <w:color w:val="374151"/>
          <w:sz w:val="22"/>
          <w:szCs w:val="22"/>
        </w:rPr>
        <w:t xml:space="preserve">Prepare the BSD presentation agenda and confirm team readiness.</w:t>
      </w:r>
    </w:p>
    <w:p>
      <w:pPr>
        <w:pStyle w:val="ListParagraph"/>
        <w:numPr>
          <w:ilvl w:val="0"/>
          <w:numId w:val="2"/>
        </w:numPr>
        <w:spacing w:after="40" w:before="40"/>
      </w:pPr>
      <w:r>
        <w:rPr>
          <w:rFonts w:ascii="Arial" w:cs="Arial" w:eastAsia="Arial" w:hAnsi="Arial"/>
          <w:b w:val="false"/>
          <w:bCs w:val="false"/>
          <w:color w:val="374151"/>
          <w:sz w:val="22"/>
          <w:szCs w:val="22"/>
        </w:rPr>
        <w:t xml:space="preserve">Align all teams (MSN, LTI, NTT) on outstanding items and required revisions.</w:t>
      </w:r>
    </w:p>
    <w:p>
      <w:pPr>
        <w:spacing w:after="100" w:before="100"/>
      </w:pPr>
      <w:r>
        <w:t xml:space="preserve"/>
      </w:r>
    </w:p>
    <w:p>
      <w:pPr>
        <w:pStyle w:val="Heading1"/>
      </w:pPr>
      <w:r>
        <w:rPr>
          <w:b/>
          <w:bCs/>
          <w:color w:val="0D1B2A"/>
        </w:rPr>
        <w:t xml:space="preserve">3. BSD Presentation Preparation</w:t>
      </w:r>
    </w:p>
    <w:p>
      <w:pPr>
        <w:pBdr>
          <w:bottom w:val="single" w:color="2E75B6" w:sz="6" w:space="1"/>
        </w:pBdr>
        <w:spacing w:after="100" w:before="160"/>
      </w:pPr>
    </w:p>
    <w:p>
      <w:pPr>
        <w:spacing w:after="60" w:before="60"/>
        <w:jc w:val="left"/>
      </w:pPr>
      <w:r>
        <w:rPr>
          <w:rFonts w:ascii="Arial" w:cs="Arial" w:eastAsia="Arial" w:hAnsi="Arial"/>
          <w:color w:val="374151"/>
          <w:sz w:val="22"/>
          <w:szCs w:val="22"/>
        </w:rPr>
        <w:t xml:space="preserve">The BSD presentation must begin with a structured recap of Pak Kapus's feedback from the Bandung meeting, before proceeding to show what has been updated or completed. This approach ensures the Director is not required to re-state his feedback, and that accountability for each point is clearly demonstrated.</w:t>
      </w:r>
    </w:p>
    <w:p>
      <w:pPr>
        <w:spacing w:after="60" w:before="60"/>
      </w:pPr>
      <w:r>
        <w:t xml:space="preserve"/>
      </w:r>
    </w:p>
    <w:p>
      <w:pPr>
        <w:spacing w:after="60" w:before="60"/>
        <w:jc w:val="left"/>
      </w:pPr>
      <w:r>
        <w:rPr>
          <w:rFonts w:ascii="Arial" w:cs="Arial" w:eastAsia="Arial" w:hAnsi="Arial"/>
          <w:color w:val="374151"/>
          <w:sz w:val="22"/>
          <w:szCs w:val="22"/>
        </w:rPr>
        <w:t xml:space="preserve">Format recommended by the team:</w:t>
      </w:r>
    </w:p>
    <w:p>
      <w:pPr>
        <w:pStyle w:val="ListParagraph"/>
        <w:numPr>
          <w:ilvl w:val="0"/>
          <w:numId w:val="2"/>
        </w:numPr>
        <w:spacing w:after="40" w:before="40"/>
      </w:pPr>
      <w:r>
        <w:rPr>
          <w:rFonts w:ascii="Arial" w:cs="Arial" w:eastAsia="Arial" w:hAnsi="Arial"/>
          <w:b w:val="false"/>
          <w:bCs w:val="false"/>
          <w:color w:val="374151"/>
          <w:sz w:val="22"/>
          <w:szCs w:val="22"/>
        </w:rPr>
        <w:t xml:space="preserve">Open with: Bandung session feedback summary (A, B, C, D points)</w:t>
      </w:r>
    </w:p>
    <w:p>
      <w:pPr>
        <w:pStyle w:val="ListParagraph"/>
        <w:numPr>
          <w:ilvl w:val="0"/>
          <w:numId w:val="2"/>
        </w:numPr>
        <w:spacing w:after="40" w:before="40"/>
      </w:pPr>
      <w:r>
        <w:rPr>
          <w:rFonts w:ascii="Arial" w:cs="Arial" w:eastAsia="Arial" w:hAnsi="Arial"/>
          <w:b w:val="false"/>
          <w:bCs w:val="false"/>
          <w:color w:val="374151"/>
          <w:sz w:val="22"/>
          <w:szCs w:val="22"/>
        </w:rPr>
        <w:t xml:space="preserve">Follow with: updates and completed items from the MOM</w:t>
      </w:r>
    </w:p>
    <w:p>
      <w:pPr>
        <w:pStyle w:val="ListParagraph"/>
        <w:numPr>
          <w:ilvl w:val="0"/>
          <w:numId w:val="2"/>
        </w:numPr>
        <w:spacing w:after="40" w:before="40"/>
      </w:pPr>
      <w:r>
        <w:rPr>
          <w:rFonts w:ascii="Arial" w:cs="Arial" w:eastAsia="Arial" w:hAnsi="Arial"/>
          <w:b w:val="false"/>
          <w:bCs w:val="false"/>
          <w:color w:val="374151"/>
          <w:sz w:val="22"/>
          <w:szCs w:val="22"/>
        </w:rPr>
        <w:t xml:space="preserve">Flag any items not yet ready, with a proposed timeline</w:t>
      </w:r>
    </w:p>
    <w:p>
      <w:pPr>
        <w:spacing w:after="60" w:before="60"/>
      </w:pPr>
      <w:r>
        <w:t xml:space="preserve"/>
      </w:r>
    </w:p>
    <w:p>
      <w:pPr>
        <w:spacing w:after="60" w:before="60"/>
        <w:jc w:val="left"/>
      </w:pPr>
      <w:r>
        <w:rPr>
          <w:rFonts w:ascii="Arial" w:cs="Arial" w:eastAsia="Arial" w:hAnsi="Arial"/>
          <w:color w:val="374151"/>
          <w:sz w:val="22"/>
          <w:szCs w:val="22"/>
        </w:rPr>
        <w:t xml:space="preserve">NTT's scope was reported as relatively small, and their updates are ready for immediate presentation.</w:t>
      </w:r>
    </w:p>
    <w:p>
      <w:pPr>
        <w:spacing w:after="100" w:before="100"/>
      </w:pPr>
      <w:r>
        <w:t xml:space="preserve"/>
      </w:r>
    </w:p>
    <w:p>
      <w:pPr>
        <w:pStyle w:val="Heading1"/>
      </w:pPr>
      <w:r>
        <w:rPr>
          <w:b/>
          <w:bCs/>
          <w:color w:val="0D1B2A"/>
        </w:rPr>
        <w:t xml:space="preserve">4. Technical Discussion: Inaris Dissemination System</w:t>
      </w:r>
    </w:p>
    <w:p>
      <w:pPr>
        <w:pBdr>
          <w:bottom w:val="single" w:color="2E75B6" w:sz="6" w:space="1"/>
        </w:pBdr>
        <w:spacing w:after="100" w:before="160"/>
      </w:pPr>
    </w:p>
    <w:p>
      <w:pPr>
        <w:pStyle w:val="Heading2"/>
      </w:pPr>
      <w:r>
        <w:rPr>
          <w:b/>
          <w:bCs/>
          <w:color w:val="0D1B2A"/>
        </w:rPr>
        <w:t xml:space="preserve">4.1  Pak Kapus's Core Concern</w:t>
      </w:r>
    </w:p>
    <w:p>
      <w:pPr>
        <w:spacing w:after="60" w:before="60"/>
        <w:jc w:val="left"/>
      </w:pPr>
      <w:r>
        <w:rPr>
          <w:rFonts w:ascii="Arial" w:cs="Arial" w:eastAsia="Arial" w:hAnsi="Arial"/>
          <w:color w:val="374151"/>
          <w:sz w:val="22"/>
          <w:szCs w:val="22"/>
        </w:rPr>
        <w:t xml:space="preserve">Pak Kapus's primary concern is not the application features themselves, but rather the accountability mechanism for information dissemination:</w:t>
      </w:r>
    </w:p>
    <w:p>
      <w:pPr>
        <w:pStyle w:val="ListParagraph"/>
        <w:numPr>
          <w:ilvl w:val="0"/>
          <w:numId w:val="2"/>
        </w:numPr>
        <w:spacing w:after="40" w:before="40"/>
      </w:pPr>
      <w:r>
        <w:rPr>
          <w:rFonts w:ascii="Arial" w:cs="Arial" w:eastAsia="Arial" w:hAnsi="Arial"/>
          <w:b/>
          <w:bCs/>
          <w:color w:val="374151"/>
          <w:sz w:val="22"/>
          <w:szCs w:val="22"/>
        </w:rPr>
        <w:t xml:space="preserve">Has the information been delivered?</w:t>
      </w:r>
    </w:p>
    <w:p>
      <w:pPr>
        <w:pStyle w:val="ListParagraph"/>
        <w:numPr>
          <w:ilvl w:val="0"/>
          <w:numId w:val="2"/>
        </w:numPr>
        <w:spacing w:after="40" w:before="40"/>
      </w:pPr>
      <w:r>
        <w:rPr>
          <w:rFonts w:ascii="Arial" w:cs="Arial" w:eastAsia="Arial" w:hAnsi="Arial"/>
          <w:b/>
          <w:bCs/>
          <w:color w:val="374151"/>
          <w:sz w:val="22"/>
          <w:szCs w:val="22"/>
        </w:rPr>
        <w:t xml:space="preserve">Has the information been read?</w:t>
      </w:r>
    </w:p>
    <w:p>
      <w:pPr>
        <w:pStyle w:val="ListParagraph"/>
        <w:numPr>
          <w:ilvl w:val="0"/>
          <w:numId w:val="2"/>
        </w:numPr>
        <w:spacing w:after="40" w:before="40"/>
      </w:pPr>
      <w:r>
        <w:rPr>
          <w:rFonts w:ascii="Arial" w:cs="Arial" w:eastAsia="Arial" w:hAnsi="Arial"/>
          <w:b/>
          <w:bCs/>
          <w:color w:val="374151"/>
          <w:sz w:val="22"/>
          <w:szCs w:val="22"/>
        </w:rPr>
        <w:t xml:space="preserve">Has the recipient responded — especially during an active disaster?</w:t>
      </w:r>
    </w:p>
    <w:p>
      <w:pPr>
        <w:spacing w:after="60" w:before="60"/>
        <w:jc w:val="left"/>
      </w:pPr>
      <w:r>
        <w:rPr>
          <w:rFonts w:ascii="Arial" w:cs="Arial" w:eastAsia="Arial" w:hAnsi="Arial"/>
          <w:color w:val="374151"/>
          <w:sz w:val="22"/>
          <w:szCs w:val="22"/>
        </w:rPr>
        <w:t xml:space="preserve">He made clear he does not want new standalone applications. All enhancements must be integrated into the existing Inaris platform.</w:t>
      </w:r>
    </w:p>
    <w:p>
      <w:pPr>
        <w:spacing w:after="80" w:before="80"/>
      </w:pPr>
      <w:r>
        <w:t xml:space="preserve"/>
      </w:r>
    </w:p>
    <w:p>
      <w:pPr>
        <w:pStyle w:val="Heading2"/>
      </w:pPr>
      <w:r>
        <w:rPr>
          <w:b/>
          <w:bCs/>
          <w:color w:val="0D1B2A"/>
        </w:rPr>
        <w:t xml:space="preserve">4.2  4-Tier Information Delivery Architecture</w:t>
      </w:r>
    </w:p>
    <w:p>
      <w:pPr>
        <w:spacing w:after="60" w:before="60"/>
        <w:jc w:val="left"/>
      </w:pPr>
      <w:r>
        <w:rPr>
          <w:rFonts w:ascii="Arial" w:cs="Arial" w:eastAsia="Arial" w:hAnsi="Arial"/>
          <w:color w:val="374151"/>
          <w:sz w:val="22"/>
          <w:szCs w:val="22"/>
        </w:rPr>
        <w:t xml:space="preserve">The team presented an updated multi-channel dissemination approach designed for maximum reach and trackability: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760"/>
        <w:gridCol w:w="2900"/>
      </w:tblGrid>
      <w:tr>
        <w:tc>
          <w:tcPr>
            <w:tcW w:type="dxa" w:w="5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Channel</w:t>
            </w:r>
          </w:p>
        </w:tc>
        <w:tc>
          <w:tcPr>
            <w:tcW w:type="dxa" w:w="37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Capability</w:t>
            </w:r>
          </w:p>
        </w:tc>
        <w:tc>
          <w:tcPr>
            <w:tcW w:type="dxa" w:w="29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Tracking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Broadest reach; works without internet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Delivery only (no read/respond)</w:t>
            </w:r>
          </w:p>
        </w:tc>
      </w:tr>
      <w:tr>
        <w:tc>
          <w:tcPr>
            <w:tcW w:type="dxa" w:w="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2</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374151"/>
                <w:sz w:val="20"/>
                <w:szCs w:val="20"/>
              </w:rPr>
              <w:t xml:space="preserve">WhatsApp</w:t>
            </w:r>
          </w:p>
        </w:tc>
        <w:tc>
          <w:tcPr>
            <w:tcW w:type="dxa" w:w="3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74151"/>
                <w:sz w:val="20"/>
                <w:szCs w:val="20"/>
              </w:rPr>
              <w:t xml:space="preserve">Delivery + read confirmation; messaging cost applies</w:t>
            </w:r>
          </w:p>
        </w:tc>
        <w:tc>
          <w:tcPr>
            <w:tcW w:type="dxa" w:w="2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74151"/>
                <w:sz w:val="20"/>
                <w:szCs w:val="20"/>
              </w:rPr>
              <w:t xml:space="preserve">Read + Respond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Inaris App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Free; GPS location capture; no internet cost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Read + Respond</w:t>
            </w:r>
          </w:p>
        </w:tc>
      </w:tr>
      <w:tr>
        <w:tc>
          <w:tcPr>
            <w:tcW w:type="dxa" w:w="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4</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374151"/>
                <w:sz w:val="20"/>
                <w:szCs w:val="20"/>
              </w:rPr>
              <w:t xml:space="preserve">IVR Phone Call</w:t>
            </w:r>
          </w:p>
        </w:tc>
        <w:tc>
          <w:tcPr>
            <w:tcW w:type="dxa" w:w="3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74151"/>
                <w:sz w:val="20"/>
                <w:szCs w:val="20"/>
              </w:rPr>
              <w:t xml:space="preserve">Fallback when no internet/data; 3-sec call = confirmed receipt</w:t>
            </w:r>
          </w:p>
        </w:tc>
        <w:tc>
          <w:tcPr>
            <w:tcW w:type="dxa" w:w="2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74151"/>
                <w:sz w:val="20"/>
                <w:szCs w:val="20"/>
              </w:rPr>
              <w:t xml:space="preserve">Answer = Respond</w:t>
            </w:r>
          </w:p>
        </w:tc>
      </w:tr>
    </w:tbl>
    <w:p>
      <w:pPr>
        <w:spacing w:after="100" w:before="100"/>
      </w:pPr>
      <w:r>
        <w:t xml:space="preserve"/>
      </w:r>
    </w:p>
    <w:p>
      <w:pPr>
        <w:pStyle w:val="Heading2"/>
      </w:pPr>
      <w:r>
        <w:rPr>
          <w:b/>
          <w:bCs/>
          <w:color w:val="0D1B2A"/>
        </w:rPr>
        <w:t xml:space="preserve">4.3  Dissemination Workflow — Two Scenarios</w:t>
      </w:r>
    </w:p>
    <w:p>
      <w:pPr>
        <w:spacing w:after="60" w:before="60"/>
        <w:jc w:val="left"/>
      </w:pPr>
      <w:r>
        <w:rPr>
          <w:rFonts w:ascii="Arial" w:cs="Arial" w:eastAsia="Arial" w:hAnsi="Arial"/>
          <w:color w:val="374151"/>
          <w:sz w:val="22"/>
          <w:szCs w:val="22"/>
        </w:rPr>
        <w:t xml:space="preserve">The team designed two operational scenarios: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Scenario 1 — Alert &amp; Evacuation</w:t>
            </w:r>
          </w:p>
        </w:tc>
        <w:tc>
          <w:tcPr>
            <w:tcW w:type="dxa" w:w="4680"/>
            <w:tcBorders>
              <w:top w:val="single" w:color="CCCCCC" w:sz="1"/>
              <w:left w:val="single" w:color="CCCCCC" w:sz="1"/>
              <w:bottom w:val="single" w:color="CCCCCC" w:sz="1"/>
              <w:right w:val="single" w:color="CCCCCC" w:sz="1"/>
            </w:tcBorders>
            <w:shd w:fill="E07B3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Scenario 2 — News for Public</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color w:val="374151"/>
                <w:sz w:val="20"/>
                <w:szCs w:val="20"/>
              </w:rPr>
              <w:t xml:space="preserve">Active disaster alerts and evacuation orders</w:t>
            </w:r>
          </w:p>
          <w:p>
            <w:pPr>
              <w:spacing w:before="60"/>
            </w:pPr>
            <w:r>
              <w:rPr>
                <w:rFonts w:ascii="Arial" w:cs="Arial" w:eastAsia="Arial" w:hAnsi="Arial"/>
                <w:color w:val="374151"/>
                <w:sz w:val="20"/>
                <w:szCs w:val="20"/>
              </w:rPr>
              <w:t xml:space="preserve">Targets users by telecom subscriber location + GPS data</w:t>
            </w:r>
          </w:p>
          <w:p>
            <w:pPr>
              <w:spacing w:before="60"/>
            </w:pPr>
            <w:r>
              <w:rPr>
                <w:rFonts w:ascii="Arial" w:cs="Arial" w:eastAsia="Arial" w:hAnsi="Arial"/>
                <w:color w:val="374151"/>
                <w:sz w:val="20"/>
                <w:szCs w:val="20"/>
              </w:rPr>
              <w:t xml:space="preserve">Alert contains: Location, Status, Time, Impact, Required Action</w:t>
            </w:r>
          </w:p>
          <w:p>
            <w:pPr>
              <w:spacing w:before="60"/>
            </w:pPr>
            <w:r>
              <w:rPr>
                <w:rFonts w:ascii="Arial" w:cs="Arial" w:eastAsia="Arial" w:hAnsi="Arial"/>
                <w:color w:val="374151"/>
                <w:sz w:val="20"/>
                <w:szCs w:val="20"/>
              </w:rPr>
              <w:t xml:space="preserve">Users respond with 'Safe' or 'Need Help' codes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color w:val="374151"/>
                <w:sz w:val="20"/>
                <w:szCs w:val="20"/>
              </w:rPr>
              <w:t xml:space="preserve">General preparedness news and early warnings (BPB News)</w:t>
            </w:r>
          </w:p>
          <w:p>
            <w:pPr>
              <w:spacing w:before="60"/>
            </w:pPr>
            <w:r>
              <w:rPr>
                <w:rFonts w:ascii="Arial" w:cs="Arial" w:eastAsia="Arial" w:hAnsi="Arial"/>
                <w:color w:val="374151"/>
                <w:sz w:val="20"/>
                <w:szCs w:val="20"/>
              </w:rPr>
              <w:t xml:space="preserve">Distributed via WhatsApp (with app install link) and Inaris</w:t>
            </w:r>
          </w:p>
          <w:p>
            <w:pPr>
              <w:spacing w:before="60"/>
            </w:pPr>
            <w:r>
              <w:rPr>
                <w:rFonts w:ascii="Arial" w:cs="Arial" w:eastAsia="Arial" w:hAnsi="Arial"/>
                <w:color w:val="374151"/>
                <w:sz w:val="20"/>
                <w:szCs w:val="20"/>
              </w:rPr>
              <w:t xml:space="preserve">WhatsApp used for installation prompts (paid); Inaris for ongoing news (free)</w:t>
            </w:r>
          </w:p>
          <w:p>
            <w:pPr>
              <w:spacing w:before="60"/>
            </w:pPr>
            <w:r>
              <w:rPr>
                <w:rFonts w:ascii="Arial" w:cs="Arial" w:eastAsia="Arial" w:hAnsi="Arial"/>
                <w:color w:val="374151"/>
                <w:sz w:val="20"/>
                <w:szCs w:val="20"/>
              </w:rPr>
              <w:t xml:space="preserve">Users can access full details by installing the app</w:t>
            </w:r>
          </w:p>
        </w:tc>
      </w:tr>
    </w:tbl>
    <w:p>
      <w:pPr>
        <w:spacing w:after="100" w:before="100"/>
      </w:pPr>
      <w:r>
        <w:t xml:space="preserve"/>
      </w:r>
    </w:p>
    <w:p>
      <w:pPr>
        <w:pStyle w:val="Heading2"/>
      </w:pPr>
      <w:r>
        <w:rPr>
          <w:b/>
          <w:bCs/>
          <w:color w:val="0D1B2A"/>
        </w:rPr>
        <w:t xml:space="preserve">4.4  User Data &amp; Registration Model</w:t>
      </w:r>
    </w:p>
    <w:p>
      <w:pPr>
        <w:pStyle w:val="ListParagraph"/>
        <w:numPr>
          <w:ilvl w:val="0"/>
          <w:numId w:val="2"/>
        </w:numPr>
        <w:spacing w:after="40" w:before="40"/>
      </w:pPr>
      <w:r>
        <w:rPr>
          <w:rFonts w:ascii="Arial" w:cs="Arial" w:eastAsia="Arial" w:hAnsi="Arial"/>
          <w:b w:val="false"/>
          <w:bCs w:val="false"/>
          <w:color w:val="374151"/>
          <w:sz w:val="22"/>
          <w:szCs w:val="22"/>
        </w:rPr>
        <w:t xml:space="preserve">No mandatory registration required to receive alerts.</w:t>
      </w:r>
    </w:p>
    <w:p>
      <w:pPr>
        <w:pStyle w:val="ListParagraph"/>
        <w:numPr>
          <w:ilvl w:val="0"/>
          <w:numId w:val="2"/>
        </w:numPr>
        <w:spacing w:after="40" w:before="40"/>
      </w:pPr>
      <w:r>
        <w:rPr>
          <w:rFonts w:ascii="Arial" w:cs="Arial" w:eastAsia="Arial" w:hAnsi="Arial"/>
          <w:b w:val="false"/>
          <w:bCs w:val="false"/>
          <w:color w:val="374151"/>
          <w:sz w:val="22"/>
          <w:szCs w:val="22"/>
        </w:rPr>
        <w:t xml:space="preserve">Phone number and GPS location are captured automatically on app install via Terms &amp; Conditions acceptance.</w:t>
      </w:r>
    </w:p>
    <w:p>
      <w:pPr>
        <w:pStyle w:val="ListParagraph"/>
        <w:numPr>
          <w:ilvl w:val="0"/>
          <w:numId w:val="2"/>
        </w:numPr>
        <w:spacing w:after="40" w:before="40"/>
      </w:pPr>
      <w:r>
        <w:rPr>
          <w:rFonts w:ascii="Arial" w:cs="Arial" w:eastAsia="Arial" w:hAnsi="Arial"/>
          <w:b w:val="false"/>
          <w:bCs w:val="false"/>
          <w:color w:val="374151"/>
          <w:sz w:val="22"/>
          <w:szCs w:val="22"/>
        </w:rPr>
        <w:t xml:space="preserve">Registration is optional and only unlocks premium features such as:</w:t>
      </w:r>
    </w:p>
    <w:p>
      <w:pPr>
        <w:pStyle w:val="ListParagraph"/>
        <w:numPr>
          <w:ilvl w:val="0"/>
          <w:numId w:val="3"/>
        </w:numPr>
        <w:spacing w:after="30" w:before="30"/>
      </w:pPr>
      <w:r>
        <w:rPr>
          <w:rFonts w:ascii="Arial" w:cs="Arial" w:eastAsia="Arial" w:hAnsi="Arial"/>
          <w:color w:val="6B7280"/>
          <w:sz w:val="20"/>
          <w:szCs w:val="20"/>
        </w:rPr>
        <w:t xml:space="preserve">Family Connect — track family members' location during a disaster</w:t>
      </w:r>
    </w:p>
    <w:p>
      <w:pPr>
        <w:pStyle w:val="ListParagraph"/>
        <w:numPr>
          <w:ilvl w:val="0"/>
          <w:numId w:val="3"/>
        </w:numPr>
        <w:spacing w:after="30" w:before="30"/>
      </w:pPr>
      <w:r>
        <w:rPr>
          <w:rFonts w:ascii="Arial" w:cs="Arial" w:eastAsia="Arial" w:hAnsi="Arial"/>
          <w:color w:val="6B7280"/>
          <w:sz w:val="20"/>
          <w:szCs w:val="20"/>
        </w:rPr>
        <w:t xml:space="preserve">Personalized alert preferences and history</w:t>
      </w:r>
    </w:p>
    <w:p>
      <w:pPr>
        <w:pStyle w:val="ListParagraph"/>
        <w:numPr>
          <w:ilvl w:val="0"/>
          <w:numId w:val="2"/>
        </w:numPr>
        <w:spacing w:after="40" w:before="40"/>
      </w:pPr>
      <w:r>
        <w:rPr>
          <w:rFonts w:ascii="Arial" w:cs="Arial" w:eastAsia="Arial" w:hAnsi="Arial"/>
          <w:b w:val="false"/>
          <w:bCs w:val="false"/>
          <w:color w:val="374151"/>
          <w:sz w:val="22"/>
          <w:szCs w:val="22"/>
        </w:rPr>
        <w:t xml:space="preserve">Users without data connectivity will still receive alerts via SMS and IVR phone call.</w:t>
      </w:r>
    </w:p>
    <w:p>
      <w:pPr>
        <w:spacing w:after="100" w:before="100"/>
      </w:pPr>
      <w:r>
        <w:t xml:space="preserve"/>
      </w:r>
    </w:p>
    <w:p>
      <w:pPr>
        <w:pStyle w:val="Heading2"/>
      </w:pPr>
      <w:r>
        <w:rPr>
          <w:b/>
          <w:bCs/>
          <w:color w:val="0D1B2A"/>
        </w:rPr>
        <w:t xml:space="preserve">4.5  Tracking &amp; KPI Metrics</w:t>
      </w:r>
    </w:p>
    <w:p>
      <w:pPr>
        <w:spacing w:after="60" w:before="60"/>
        <w:jc w:val="left"/>
      </w:pPr>
      <w:r>
        <w:rPr>
          <w:rFonts w:ascii="Arial" w:cs="Arial" w:eastAsia="Arial" w:hAnsi="Arial"/>
          <w:color w:val="374151"/>
          <w:sz w:val="22"/>
          <w:szCs w:val="22"/>
        </w:rPr>
        <w:t xml:space="preserve">Two delivery tracking metrics are defined (excluding SMS):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Target KPI</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Read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95%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Dependent on phone number validity; high churn rate in Indonesia noted</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2E75B6"/>
                <w:sz w:val="20"/>
                <w:szCs w:val="20"/>
              </w:rPr>
              <w:t xml:space="preserve">Response Rate</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74151"/>
                <w:sz w:val="20"/>
                <w:szCs w:val="20"/>
              </w:rPr>
              <w:t xml:space="preserve">≥ 75%</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74151"/>
                <w:sz w:val="20"/>
                <w:szCs w:val="20"/>
              </w:rPr>
              <w:t xml:space="preserve">Varies by topic, timing, recipient location, and disaster conditions</w:t>
            </w:r>
          </w:p>
        </w:tc>
      </w:tr>
    </w:tbl>
    <w:p>
      <w:pPr>
        <w:spacing w:after="60" w:before="60"/>
      </w:pPr>
      <w:r>
        <w:t xml:space="preserve"/>
      </w:r>
    </w:p>
    <w:p>
      <w:pPr>
        <w:spacing w:after="60" w:before="60"/>
        <w:jc w:val="left"/>
      </w:pPr>
      <w:r>
        <w:rPr>
          <w:rFonts w:ascii="Arial" w:cs="Arial" w:eastAsia="Arial" w:hAnsi="Arial"/>
          <w:color w:val="374151"/>
          <w:sz w:val="22"/>
          <w:szCs w:val="22"/>
        </w:rPr>
        <w:t xml:space="preserve">AI modeling will be incorporated to optimize message delivery timing (optimal hour for maximum response rate based on historical patterns).</w:t>
      </w:r>
    </w:p>
    <w:p>
      <w:pPr>
        <w:spacing w:after="100" w:before="100"/>
      </w:pPr>
      <w:r>
        <w:t xml:space="preserve"/>
      </w:r>
    </w:p>
    <w:p>
      <w:pPr>
        <w:pStyle w:val="Heading2"/>
      </w:pPr>
      <w:r>
        <w:rPr>
          <w:b/>
          <w:bCs/>
          <w:color w:val="0D1B2A"/>
        </w:rPr>
        <w:t xml:space="preserve">4.6  API Access &amp; Cybersecurity</w:t>
      </w:r>
    </w:p>
    <w:p>
      <w:pPr>
        <w:pStyle w:val="ListParagraph"/>
        <w:numPr>
          <w:ilvl w:val="0"/>
          <w:numId w:val="2"/>
        </w:numPr>
        <w:spacing w:after="40" w:before="40"/>
      </w:pPr>
      <w:r>
        <w:rPr>
          <w:rFonts w:ascii="Arial" w:cs="Arial" w:eastAsia="Arial" w:hAnsi="Arial"/>
          <w:b w:val="false"/>
          <w:bCs w:val="false"/>
          <w:color w:val="374151"/>
          <w:sz w:val="22"/>
          <w:szCs w:val="22"/>
        </w:rPr>
        <w:t xml:space="preserve">An API will be provided for third-party access (social media, other systems).</w:t>
      </w:r>
    </w:p>
    <w:p>
      <w:pPr>
        <w:pStyle w:val="ListParagraph"/>
        <w:numPr>
          <w:ilvl w:val="0"/>
          <w:numId w:val="2"/>
        </w:numPr>
        <w:spacing w:after="40" w:before="40"/>
      </w:pPr>
      <w:r>
        <w:rPr>
          <w:rFonts w:ascii="Arial" w:cs="Arial" w:eastAsia="Arial" w:hAnsi="Arial"/>
          <w:b w:val="false"/>
          <w:bCs w:val="false"/>
          <w:color w:val="374151"/>
          <w:sz w:val="22"/>
          <w:szCs w:val="22"/>
        </w:rPr>
        <w:t xml:space="preserve">API authentication will use username + password credentials.</w:t>
      </w:r>
    </w:p>
    <w:p>
      <w:pPr>
        <w:pStyle w:val="ListParagraph"/>
        <w:numPr>
          <w:ilvl w:val="0"/>
          <w:numId w:val="2"/>
        </w:numPr>
        <w:spacing w:after="40" w:before="40"/>
      </w:pPr>
      <w:r>
        <w:rPr>
          <w:rFonts w:ascii="Arial" w:cs="Arial" w:eastAsia="Arial" w:hAnsi="Arial"/>
          <w:b w:val="false"/>
          <w:bCs w:val="false"/>
          <w:color w:val="374151"/>
          <w:sz w:val="22"/>
          <w:szCs w:val="22"/>
        </w:rPr>
        <w:t xml:space="preserve">Sessions will be time-limited to mitigate cybersecurity risks (prevent unauthorized access if credentials are compromised).</w:t>
      </w:r>
    </w:p>
    <w:p>
      <w:pPr>
        <w:pStyle w:val="ListParagraph"/>
        <w:numPr>
          <w:ilvl w:val="0"/>
          <w:numId w:val="2"/>
        </w:numPr>
        <w:spacing w:after="40" w:before="40"/>
      </w:pPr>
      <w:r>
        <w:rPr>
          <w:rFonts w:ascii="Arial" w:cs="Arial" w:eastAsia="Arial" w:hAnsi="Arial"/>
          <w:b w:val="false"/>
          <w:bCs w:val="false"/>
          <w:color w:val="374151"/>
          <w:sz w:val="22"/>
          <w:szCs w:val="22"/>
        </w:rPr>
        <w:t xml:space="preserve">Both alert and news data types will be accessible via this API.</w:t>
      </w:r>
    </w:p>
    <w:p>
      <w:pPr>
        <w:spacing w:after="100" w:before="100"/>
      </w:pPr>
      <w:r>
        <w:t xml:space="preserve"/>
      </w:r>
    </w:p>
    <w:p>
      <w:pPr>
        <w:pStyle w:val="Heading2"/>
      </w:pPr>
      <w:r>
        <w:rPr>
          <w:b/>
          <w:bCs/>
          <w:color w:val="0D1B2A"/>
        </w:rPr>
        <w:t xml:space="preserve">4.7  Dashboard Monitoring (Added — Pak Jamal)</w:t>
      </w:r>
    </w:p>
    <w:p>
      <w:pPr>
        <w:spacing w:after="60" w:before="60"/>
        <w:jc w:val="left"/>
      </w:pPr>
      <w:r>
        <w:rPr>
          <w:rFonts w:ascii="Arial" w:cs="Arial" w:eastAsia="Arial" w:hAnsi="Arial"/>
          <w:color w:val="374151"/>
          <w:sz w:val="22"/>
          <w:szCs w:val="22"/>
        </w:rPr>
        <w:t xml:space="preserve">Pak Jamal proposed adding a dashboard monitoring component as a new point to the MOM. Key details:</w:t>
      </w:r>
    </w:p>
    <w:p>
      <w:pPr>
        <w:pStyle w:val="ListParagraph"/>
        <w:numPr>
          <w:ilvl w:val="0"/>
          <w:numId w:val="2"/>
        </w:numPr>
        <w:spacing w:after="40" w:before="40"/>
      </w:pPr>
      <w:r>
        <w:rPr>
          <w:rFonts w:ascii="Arial" w:cs="Arial" w:eastAsia="Arial" w:hAnsi="Arial"/>
          <w:b w:val="false"/>
          <w:bCs w:val="false"/>
          <w:color w:val="374151"/>
          <w:sz w:val="22"/>
          <w:szCs w:val="22"/>
        </w:rPr>
        <w:t xml:space="preserve">Monitoring dashboard resides in Pillar 1 (not in the dissemination system).</w:t>
      </w:r>
    </w:p>
    <w:p>
      <w:pPr>
        <w:pStyle w:val="ListParagraph"/>
        <w:numPr>
          <w:ilvl w:val="0"/>
          <w:numId w:val="2"/>
        </w:numPr>
        <w:spacing w:after="40" w:before="40"/>
      </w:pPr>
      <w:r>
        <w:rPr>
          <w:rFonts w:ascii="Arial" w:cs="Arial" w:eastAsia="Arial" w:hAnsi="Arial"/>
          <w:b w:val="false"/>
          <w:bCs w:val="false"/>
          <w:color w:val="374151"/>
          <w:sz w:val="22"/>
          <w:szCs w:val="22"/>
        </w:rPr>
        <w:t xml:space="preserve">Dissemination system sends read/respond data back to Pillar 1.</w:t>
      </w:r>
    </w:p>
    <w:p>
      <w:pPr>
        <w:pStyle w:val="ListParagraph"/>
        <w:numPr>
          <w:ilvl w:val="0"/>
          <w:numId w:val="2"/>
        </w:numPr>
        <w:spacing w:after="40" w:before="40"/>
      </w:pPr>
      <w:r>
        <w:rPr>
          <w:rFonts w:ascii="Arial" w:cs="Arial" w:eastAsia="Arial" w:hAnsi="Arial"/>
          <w:b w:val="false"/>
          <w:bCs w:val="false"/>
          <w:color w:val="374151"/>
          <w:sz w:val="22"/>
          <w:szCs w:val="22"/>
        </w:rPr>
        <w:t xml:space="preserve">BNPB can request reports on: how many messages sent, how many read, how many responded — all viewable in Pillar 1's dashboard.</w:t>
      </w:r>
    </w:p>
    <w:p>
      <w:pPr>
        <w:spacing w:after="100" w:before="100"/>
      </w:pPr>
      <w:r>
        <w:t xml:space="preserve"/>
      </w:r>
    </w:p>
    <w:p>
      <w:pPr>
        <w:pStyle w:val="Heading1"/>
      </w:pPr>
      <w:r>
        <w:rPr>
          <w:b/>
          <w:bCs/>
          <w:color w:val="0D1B2A"/>
        </w:rPr>
        <w:t xml:space="preserve">5. Minutes of Meeting (MOM) — Bandung</w:t>
      </w:r>
    </w:p>
    <w:p>
      <w:pPr>
        <w:pBdr>
          <w:bottom w:val="single" w:color="2E75B6" w:sz="6" w:space="1"/>
        </w:pBdr>
        <w:spacing w:after="100" w:before="160"/>
      </w:pPr>
    </w:p>
    <w:p>
      <w:pPr>
        <w:spacing w:after="60" w:before="60"/>
        <w:jc w:val="left"/>
      </w:pPr>
      <w:r>
        <w:rPr>
          <w:rFonts w:ascii="Arial" w:cs="Arial" w:eastAsia="Arial" w:hAnsi="Arial"/>
          <w:color w:val="374151"/>
          <w:sz w:val="22"/>
          <w:szCs w:val="22"/>
        </w:rPr>
        <w:t xml:space="preserve">The following technical points were captured in the MOM from the Bandung session. Teams must identify which are ready to present at BSD tomorrow:</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374151"/>
          <w:sz w:val="22"/>
          <w:szCs w:val="22"/>
        </w:rPr>
        <w:t xml:space="preserve">Use of satellite topography data</w:t>
      </w:r>
    </w:p>
    <w:p>
      <w:pPr>
        <w:pStyle w:val="ListParagraph"/>
        <w:numPr>
          <w:ilvl w:val="0"/>
          <w:numId w:val="2"/>
        </w:numPr>
        <w:spacing w:after="40" w:before="40"/>
      </w:pPr>
      <w:r>
        <w:rPr>
          <w:rFonts w:ascii="Arial" w:cs="Arial" w:eastAsia="Arial" w:hAnsi="Arial"/>
          <w:b w:val="false"/>
          <w:bCs w:val="false"/>
          <w:color w:val="374151"/>
          <w:sz w:val="22"/>
          <w:szCs w:val="22"/>
        </w:rPr>
        <w:t xml:space="preserve">Rainfall data integration</w:t>
      </w:r>
    </w:p>
    <w:p>
      <w:pPr>
        <w:pStyle w:val="ListParagraph"/>
        <w:numPr>
          <w:ilvl w:val="0"/>
          <w:numId w:val="2"/>
        </w:numPr>
        <w:spacing w:after="40" w:before="40"/>
      </w:pPr>
      <w:r>
        <w:rPr>
          <w:rFonts w:ascii="Arial" w:cs="Arial" w:eastAsia="Arial" w:hAnsi="Arial"/>
          <w:b w:val="false"/>
          <w:bCs w:val="false"/>
          <w:color w:val="374151"/>
          <w:sz w:val="22"/>
          <w:szCs w:val="22"/>
        </w:rPr>
        <w:t xml:space="preserve">Software assessment and selection</w:t>
      </w:r>
    </w:p>
    <w:p>
      <w:pPr>
        <w:pStyle w:val="ListParagraph"/>
        <w:numPr>
          <w:ilvl w:val="0"/>
          <w:numId w:val="2"/>
        </w:numPr>
        <w:spacing w:after="40" w:before="40"/>
      </w:pPr>
      <w:r>
        <w:rPr>
          <w:rFonts w:ascii="Arial" w:cs="Arial" w:eastAsia="Arial" w:hAnsi="Arial"/>
          <w:b w:val="false"/>
          <w:bCs w:val="false"/>
          <w:color w:val="374151"/>
          <w:sz w:val="22"/>
          <w:szCs w:val="22"/>
        </w:rPr>
        <w:t xml:space="preserve">Hydrology and landslide simulation models (model assisting)</w:t>
      </w:r>
    </w:p>
    <w:p>
      <w:pPr>
        <w:pStyle w:val="ListParagraph"/>
        <w:numPr>
          <w:ilvl w:val="0"/>
          <w:numId w:val="2"/>
        </w:numPr>
        <w:spacing w:after="40" w:before="40"/>
      </w:pPr>
      <w:r>
        <w:rPr>
          <w:rFonts w:ascii="Arial" w:cs="Arial" w:eastAsia="Arial" w:hAnsi="Arial"/>
          <w:b w:val="false"/>
          <w:bCs w:val="false"/>
          <w:color w:val="374151"/>
          <w:sz w:val="22"/>
          <w:szCs w:val="22"/>
        </w:rPr>
        <w:t xml:space="preserve">Numerical modeling using RISC and RMS methods (GPU-based)</w:t>
      </w:r>
    </w:p>
    <w:p>
      <w:pPr>
        <w:pStyle w:val="ListParagraph"/>
        <w:numPr>
          <w:ilvl w:val="0"/>
          <w:numId w:val="2"/>
        </w:numPr>
        <w:spacing w:after="40" w:before="40"/>
      </w:pPr>
      <w:r>
        <w:rPr>
          <w:rFonts w:ascii="Arial" w:cs="Arial" w:eastAsia="Arial" w:hAnsi="Arial"/>
          <w:b w:val="false"/>
          <w:bCs w:val="false"/>
          <w:color w:val="374151"/>
          <w:sz w:val="22"/>
          <w:szCs w:val="22"/>
        </w:rPr>
        <w:t xml:space="preserve">Use of 0.1-degree grid resolution data</w:t>
      </w:r>
    </w:p>
    <w:p>
      <w:pPr>
        <w:pStyle w:val="ListParagraph"/>
        <w:numPr>
          <w:ilvl w:val="0"/>
          <w:numId w:val="2"/>
        </w:numPr>
        <w:spacing w:after="40" w:before="40"/>
      </w:pPr>
      <w:r>
        <w:rPr>
          <w:rFonts w:ascii="Arial" w:cs="Arial" w:eastAsia="Arial" w:hAnsi="Arial"/>
          <w:b w:val="false"/>
          <w:bCs w:val="false"/>
          <w:color w:val="374151"/>
          <w:sz w:val="22"/>
          <w:szCs w:val="22"/>
        </w:rPr>
        <w:t xml:space="preserve">Dashboard monitoring — data flows from dissemination → Pillar 1 (new addition)</w:t>
      </w:r>
    </w:p>
    <w:p>
      <w:pPr>
        <w:spacing w:after="100" w:before="100"/>
      </w:pPr>
      <w:r>
        <w:t xml:space="preserve"/>
      </w:r>
    </w:p>
    <w:p>
      <w:pPr>
        <w:pStyle w:val="Heading1"/>
      </w:pPr>
      <w:r>
        <w:rPr>
          <w:b/>
          <w:bCs/>
          <w:color w:val="0D1B2A"/>
        </w:rPr>
        <w:t xml:space="preserve">6. Key Directive Summary</w:t>
      </w:r>
    </w:p>
    <w:p>
      <w:pPr>
        <w:pBdr>
          <w:bottom w:val="single" w:color="2E75B6" w:sz="6" w:space="1"/>
        </w:pBdr>
        <w:spacing w:after="10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7B39" w:sz="12"/>
              <w:left w:val="none" w:color="FFFFFF" w:sz="0"/>
              <w:bottom w:val="none" w:color="FFFFFF" w:sz="0"/>
              <w:right w:val="none" w:color="FFFFFF" w:sz="0"/>
            </w:tcBorders>
            <w:shd w:fill="FFF8F0" w:val="clear"/>
            <w:tcMar>
              <w:top w:type="dxa" w:w="240"/>
              <w:left w:type="dxa" w:w="300"/>
              <w:bottom w:type="dxa" w:w="240"/>
              <w:right w:type="dxa" w:w="300"/>
            </w:tcMar>
          </w:tcPr>
          <w:p>
            <w:r>
              <w:rPr>
                <w:rFonts w:ascii="Arial" w:cs="Arial" w:eastAsia="Arial" w:hAnsi="Arial"/>
                <w:b/>
                <w:bCs/>
                <w:color w:val="E07B39"/>
                <w:sz w:val="22"/>
                <w:szCs w:val="22"/>
              </w:rPr>
              <w:t xml:space="preserve">Pak Kapus's Core Question:</w:t>
            </w:r>
          </w:p>
          <w:p>
            <w:pPr>
              <w:spacing w:before="80"/>
            </w:pPr>
            <w:r>
              <w:rPr>
                <w:rFonts w:ascii="Arial" w:cs="Arial" w:eastAsia="Arial" w:hAnsi="Arial"/>
                <w:i/>
                <w:iCs/>
                <w:color w:val="374151"/>
                <w:sz w:val="22"/>
                <w:szCs w:val="22"/>
              </w:rPr>
              <w:t xml:space="preserve">"How can you help me prove accountability for the dissemination process? Show me: how many sent, how many read, how many responded."</w:t>
            </w:r>
          </w:p>
        </w:tc>
      </w:tr>
    </w:tbl>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374151"/>
          <w:sz w:val="22"/>
          <w:szCs w:val="22"/>
        </w:rPr>
        <w:t xml:space="preserve">No new standalone applications — all features must be added into Inaris.</w:t>
      </w:r>
    </w:p>
    <w:p>
      <w:pPr>
        <w:pStyle w:val="ListParagraph"/>
        <w:numPr>
          <w:ilvl w:val="0"/>
          <w:numId w:val="2"/>
        </w:numPr>
        <w:spacing w:after="40" w:before="40"/>
      </w:pPr>
      <w:r>
        <w:rPr>
          <w:rFonts w:ascii="Arial" w:cs="Arial" w:eastAsia="Arial" w:hAnsi="Arial"/>
          <w:b w:val="false"/>
          <w:bCs w:val="false"/>
          <w:color w:val="374151"/>
          <w:sz w:val="22"/>
          <w:szCs w:val="22"/>
        </w:rPr>
        <w:t xml:space="preserve">Inaris is the primary platform; WhatsApp, Telegram, and SDK are add-ons.</w:t>
      </w:r>
    </w:p>
    <w:p>
      <w:pPr>
        <w:pStyle w:val="ListParagraph"/>
        <w:numPr>
          <w:ilvl w:val="0"/>
          <w:numId w:val="2"/>
        </w:numPr>
        <w:spacing w:after="40" w:before="40"/>
      </w:pPr>
      <w:r>
        <w:rPr>
          <w:rFonts w:ascii="Arial" w:cs="Arial" w:eastAsia="Arial" w:hAnsi="Arial"/>
          <w:b w:val="false"/>
          <w:bCs w:val="false"/>
          <w:color w:val="374151"/>
          <w:sz w:val="22"/>
          <w:szCs w:val="22"/>
        </w:rPr>
        <w:t xml:space="preserve">Focus of BSD presentation: Workflow showing how info flows from Pillar 1 → Inaris → tracking read/respond.</w:t>
      </w:r>
    </w:p>
    <w:p>
      <w:pPr>
        <w:pStyle w:val="ListParagraph"/>
        <w:numPr>
          <w:ilvl w:val="0"/>
          <w:numId w:val="2"/>
        </w:numPr>
        <w:spacing w:after="40" w:before="40"/>
      </w:pPr>
      <w:r>
        <w:rPr>
          <w:rFonts w:ascii="Arial" w:cs="Arial" w:eastAsia="Arial" w:hAnsi="Arial"/>
          <w:b w:val="false"/>
          <w:bCs w:val="false"/>
          <w:color w:val="374151"/>
          <w:sz w:val="22"/>
          <w:szCs w:val="22"/>
        </w:rPr>
        <w:t xml:space="preserve">Application feature details are not required — workflow and accountability are the priority.</w:t>
      </w:r>
    </w:p>
    <w:p>
      <w:pPr>
        <w:spacing w:after="100" w:before="100"/>
      </w:pPr>
      <w:r>
        <w:t xml:space="preserve"/>
      </w:r>
    </w:p>
    <w:p>
      <w:pPr>
        <w:pStyle w:val="Heading1"/>
      </w:pPr>
      <w:r>
        <w:rPr>
          <w:b/>
          <w:bCs/>
          <w:color w:val="0D1B2A"/>
        </w:rPr>
        <w:t xml:space="preserve">7. Action Items for BSD Presentation</w:t>
      </w:r>
    </w:p>
    <w:p>
      <w:pPr>
        <w:pBdr>
          <w:bottom w:val="single" w:color="2E75B6" w:sz="6" w:space="1"/>
        </w:pBdr>
        <w:spacing w:after="100" w:before="160"/>
      </w:pP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160"/>
        <w:gridCol w:w="2600"/>
      </w:tblGrid>
      <w:tr>
        <w:tc>
          <w:tcPr>
            <w:tcW w:type="dxa" w:w="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6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Action Item</w:t>
            </w:r>
          </w:p>
        </w:tc>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Owner / Team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Open presentation with structured recap of Pak Kapus's key points from Bandung (A, B, C, 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Teams</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2</w:t>
            </w:r>
          </w:p>
        </w:tc>
        <w:tc>
          <w:tcPr>
            <w:tcW w:type="dxa" w:w="6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Present updated dissemination workflow (1 dedicated slide)</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Bang Pontas / Entity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Highlight: Info flow from Pillar 1 → Inaris → read/respond tracking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Entity Team</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4</w:t>
            </w:r>
          </w:p>
        </w:tc>
        <w:tc>
          <w:tcPr>
            <w:tcW w:type="dxa" w:w="6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Add KPI report slide (read rate 95%, response rate 75%) feeding into dashboard</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Bang Pontas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Show Inaris as primary platform + WhatsApp / Telegram / SDK as add-ons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Teams</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6</w:t>
            </w:r>
          </w:p>
        </w:tc>
        <w:tc>
          <w:tcPr>
            <w:tcW w:type="dxa" w:w="6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Flag items not yet ready with proposed timeline</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Teams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Confirm NTT updates are ready (scope confirmed as small)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NTT Team</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8</w:t>
            </w:r>
          </w:p>
        </w:tc>
        <w:tc>
          <w:tcPr>
            <w:tcW w:type="dxa" w:w="6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Internal alignment meeting: MSN, Jono, and team (pending)</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374151"/>
                <w:sz w:val="20"/>
                <w:szCs w:val="20"/>
              </w:rPr>
              <w:t xml:space="preserve">MSN / Jono</w:t>
            </w:r>
          </w:p>
        </w:tc>
      </w:tr>
    </w:tbl>
    <w:p>
      <w:pPr>
        <w:spacing w:after="120" w:before="120"/>
      </w:pPr>
      <w:r>
        <w:t xml:space="preserve"/>
      </w:r>
    </w:p>
    <w:p>
      <w:pPr>
        <w:pBdr>
          <w:top w:val="single" w:color="CCCCCC" w:sz="4" w:space="1"/>
        </w:pBdr>
        <w:spacing w:before="160"/>
      </w:pPr>
      <w:r>
        <w:rPr>
          <w:rFonts w:ascii="Arial" w:cs="Arial" w:eastAsia="Arial" w:hAnsi="Arial"/>
          <w:i/>
          <w:iCs/>
          <w:color w:val="6B7280"/>
          <w:sz w:val="18"/>
          <w:szCs w:val="18"/>
        </w:rPr>
        <w:t xml:space="preserve">Document prepared from audio transcript. Language: Bahasa Indonesia → English. Some content may be truncated as the source recording exceeded the free-tier transcription limit (30 minutes).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6B7280"/>
        <w:sz w:val="16"/>
        <w:szCs w:val="16"/>
      </w:rPr>
      <w:t xml:space="preserve">Confidential — Internal Use Only</w:t>
    </w:r>
    <w:r>
      <w:rPr>
        <w:rFonts w:ascii="Arial" w:cs="Arial" w:eastAsia="Arial" w:hAnsi="Arial"/>
        <w:color w:val="6B7280"/>
        <w:sz w:val="16"/>
        <w:szCs w:val="16"/>
      </w:rPr>
      <w:t xml:space="preserve">	Page </w:t>
    </w:r>
    <w:r>
      <w:rPr>
        <w:rFonts w:ascii="Arial" w:cs="Arial" w:eastAsia="Arial" w:hAnsi="Arial"/>
        <w:color w:val="6B7280"/>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single" w:color="2E75B6" w:sz="4"/>
            <w:right w:val="none" w:color="FFFFFF" w:sz="0"/>
          </w:tcBorders>
          <w:tcMar>
            <w:top w:type="dxa" w:w="60"/>
            <w:left w:type="dxa" w:w="0"/>
            <w:bottom w:type="dxa" w:w="60"/>
            <w:right w:type="dxa" w:w="0"/>
          </w:tcMar>
        </w:tcPr>
        <w:p>
          <w:r>
            <w:rPr>
              <w:rFonts w:ascii="Arial" w:cs="Arial" w:eastAsia="Arial" w:hAnsi="Arial"/>
              <w:b/>
              <w:bCs/>
              <w:color w:val="2E75B6"/>
              <w:sz w:val="18"/>
              <w:szCs w:val="18"/>
            </w:rPr>
            <w:t xml:space="preserve">BNPB · Inaris Dissemination System</w:t>
          </w:r>
        </w:p>
      </w:tc>
      <w:tc>
        <w:tcPr>
          <w:tcW w:type="dxa" w:w="4360"/>
          <w:tcBorders>
            <w:top w:val="none" w:color="FFFFFF" w:sz="0"/>
            <w:left w:val="none" w:color="FFFFFF" w:sz="0"/>
            <w:bottom w:val="single" w:color="2E75B6" w:sz="4"/>
            <w:right w:val="none" w:color="FFFFFF" w:sz="0"/>
          </w:tcBorders>
          <w:tcMar>
            <w:top w:type="dxa" w:w="60"/>
            <w:left w:type="dxa" w:w="0"/>
            <w:bottom w:type="dxa" w:w="60"/>
            <w:right w:type="dxa" w:w="0"/>
          </w:tcMar>
        </w:tcPr>
        <w:p>
          <w:pPr>
            <w:jc w:val="right"/>
          </w:pPr>
          <w:r>
            <w:rPr>
              <w:rFonts w:ascii="Arial" w:cs="Arial" w:eastAsia="Arial" w:hAnsi="Arial"/>
              <w:color w:val="6B7280"/>
              <w:sz w:val="18"/>
              <w:szCs w:val="18"/>
            </w:rPr>
            <w:t xml:space="preserve">Technical Meeting Minutes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40" w:hanging="28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80"/>
      <w:outlineLvl w:val="0"/>
    </w:pPr>
    <w:rPr>
      <w:rFonts w:ascii="Arial" w:cs="Arial" w:eastAsia="Arial" w:hAnsi="Arial"/>
      <w:b/>
      <w:bCs/>
      <w:color w:val="0D1B2A"/>
      <w:sz w:val="30"/>
      <w:szCs w:val="30"/>
    </w:rPr>
  </w:style>
  <w:style w:type="paragraph" w:styleId="Heading2">
    <w:name w:val="Heading 2"/>
    <w:basedOn w:val="Normal"/>
    <w:next w:val="Normal"/>
    <w:qFormat/>
    <w:pPr>
      <w:spacing w:after="60" w:before="200"/>
      <w:outlineLvl w:val="1"/>
    </w:pPr>
    <w:rPr>
      <w:rFonts w:ascii="Arial" w:cs="Arial" w:eastAsia="Arial" w:hAnsi="Arial"/>
      <w:b/>
      <w:bCs/>
      <w:color w:val="1B4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2026-05-18T02:48:29.202Z</dcterms:created>
  <dcterms:modified xsi:type="dcterms:W3CDTF">2026-05-18T02:48:29.203Z</dcterms:modified>
</cp:coreProperties>
</file>

<file path=docProps/custom.xml><?xml version="1.0" encoding="utf-8"?>
<Properties xmlns="http://schemas.openxmlformats.org/officeDocument/2006/custom-properties" xmlns:vt="http://schemas.openxmlformats.org/officeDocument/2006/docPropsVTypes"/>
</file>