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Vivek Makwana</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is seeking to establish a digital healthcare solution that connects patients with clinicians through a modern, technology-enabled platform. This initiative addresses the growing demand for accessible, remote healthcare delivery and continuous patient monitoring in the telehealth market.</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intends to build and operate a HIPAA-compliant telehealth platform that enables virtual consultations, remote patient monitoring, and AI-assisted triage and patient support.</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healthcare technology sector increasingly demands secure, interoperable, and AI-enabled solutions that improve patient outcomes while maintaining regulatory compliance and data privacy.</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primary objective is to develop a production-ready MVP that supports seamless interactions between patients and healthcare providers while leveraging artificial intelligence to improve triage efficiency and patient engagement. A secondary objective is to establish a scalable, secure infrastructure capable of integrating with existing healthcare systems and connected medical devices.</w:t>
      </w:r>
      <w:r w:rsidDel="00000000" w:rsidR="00000000" w:rsidRPr="00000000">
        <w:rPr>
          <w:rtl w:val="0"/>
        </w:rPr>
      </w:r>
    </w:p>
    <w:p w:rsidR="00000000" w:rsidDel="00000000" w:rsidP="00000000" w:rsidRDefault="00000000" w:rsidRPr="00000000" w14:paraId="0000001F">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ietuug6sodqh" w:id="5"/>
      <w:bookmarkEnd w:id="5"/>
      <w:r w:rsidDel="00000000" w:rsidR="00000000" w:rsidRPr="00000000">
        <w:rPr>
          <w:rtl w:val="0"/>
        </w:rPr>
      </w:r>
    </w:p>
    <w:p w:rsidR="00000000" w:rsidDel="00000000" w:rsidP="00000000" w:rsidRDefault="00000000" w:rsidRPr="00000000" w14:paraId="00000020">
      <w:pPr>
        <w:spacing w:after="200" w:before="300" w:lineRule="auto"/>
        <w:rPr/>
      </w:pPr>
      <w:r w:rsidDel="00000000" w:rsidR="00000000" w:rsidRPr="00000000">
        <w:rPr>
          <w:rtl w:val="0"/>
        </w:rPr>
      </w:r>
    </w:p>
    <w:p w:rsidR="00000000" w:rsidDel="00000000" w:rsidP="00000000" w:rsidRDefault="00000000" w:rsidRPr="00000000" w14:paraId="00000021">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6"/>
      <w:bookmarkEnd w:id="6"/>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3">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enterprise-grade web and mobile applications, SaaS platforms, and AI-driven solutions. We bring deep expertise in full-stack development with modern technologies including Next.js, Node.js, React, and Flutter, combined with proven capabilities in cloud infrastructure deployment and system integration. Our team is experienced in delivering secure, compliant solutions for regulated industries including healthcare, finance, and enterprise sectors.</w:t>
      </w:r>
      <w:r w:rsidDel="00000000" w:rsidR="00000000" w:rsidRPr="00000000">
        <w:rPr>
          <w:rtl w:val="0"/>
        </w:rPr>
      </w:r>
    </w:p>
    <w:p w:rsidR="00000000" w:rsidDel="00000000" w:rsidP="00000000" w:rsidRDefault="00000000" w:rsidRPr="00000000" w14:paraId="00000025">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6">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7"/>
      <w:bookmarkEnd w:id="7"/>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comprehensive telehealth ecosystem that empowers patients to access quality healthcare remotely while enabling clinicians to monitor and manage patient health proactively. The platform must be secure, compliant with healthcare regulations, and intelligent enough to reduce provider burden through automated triage and patient support.</w:t>
      </w:r>
      <w:r w:rsidDel="00000000" w:rsidR="00000000" w:rsidRPr="00000000">
        <w:rPr>
          <w:rtl w:val="0"/>
        </w:rPr>
      </w:r>
    </w:p>
    <w:p w:rsidR="00000000" w:rsidDel="00000000" w:rsidP="00000000" w:rsidRDefault="00000000" w:rsidRPr="00000000" w14:paraId="00000029">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an integrated AI-powered telehealth platform featuring dual-user portals for patients and clinicians, real-time video consultations, IoT-connected vital sign monitoring, and an intelligent symptom checker powered by large language models. The solution will be architected for scalability, security, and seamless integration with existing electronic health record systems.</w:t>
      </w:r>
      <w:r w:rsidDel="00000000" w:rsidR="00000000" w:rsidRPr="00000000">
        <w:rPr>
          <w:rtl w:val="0"/>
        </w:rPr>
      </w:r>
    </w:p>
    <w:p w:rsidR="00000000" w:rsidDel="00000000" w:rsidP="00000000" w:rsidRDefault="00000000" w:rsidRPr="00000000" w14:paraId="0000002A">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launch, the platform will enable healthcare providers to deliver virtual care at scale while patients gain continuous access to their health data and clinician support through multiple interaction channels. The implementation of AI-driven triage will reduce administrative burden by an estimated 30-40% while improving patient engagement and care quality.</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have selected a modern, containerized cloud-native architecture on AWS to ensure regulatory compliance, high availability, and cost efficiency while maintaining the flexibility to integrate third-party healthcare systems and IoT devices. This approach leverages industry-standard technologies and proven security patterns specifically designed for healthcare applications, reducing time-to-compliance and enabling rapid feature iteration.</w:t>
      </w:r>
      <w:r w:rsidDel="00000000" w:rsidR="00000000" w:rsidRPr="00000000">
        <w:rPr>
          <w:rtl w:val="0"/>
        </w:rPr>
      </w:r>
    </w:p>
    <w:p w:rsidR="00000000" w:rsidDel="00000000" w:rsidP="00000000" w:rsidRDefault="00000000" w:rsidRPr="00000000" w14:paraId="0000002D">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E">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8"/>
      <w:bookmarkEnd w:id="8"/>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30">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proposed system is a comprehensive, cloud-based telehealth platform architected on AWS infrastructure with containerized microservices, real-time communication capabilities, and integrated artificial intelligence for clinical decision support. The platform connects three user personas—patients, clinicians, and administrators—through secure, compliant portals that support video consultations, vital sign monitoring, appointment management, and billing operations.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Portal (Web &amp; Mobile) with secure login, health history, and consultation access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Dashboard with patient list, EHR integration, vitals tracking, and prescribing tools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Video Consultation Engine with WebRTC/Twilio integration and in-call collaboration</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Symptom Checker and Triage Assistant with LLM-based patient interaction</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Integration Layer for Bluetooth/BLE device connectivity and remote vital sign monitoring</w:t>
      </w:r>
      <w:r w:rsidDel="00000000" w:rsidR="00000000" w:rsidRPr="00000000">
        <w:rPr>
          <w:rtl w:val="0"/>
        </w:rPr>
      </w:r>
    </w:p>
    <w:p w:rsidR="00000000" w:rsidDel="00000000" w:rsidP="00000000" w:rsidRDefault="00000000" w:rsidRPr="00000000" w14:paraId="00000035">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36">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9"/>
      <w:bookmarkEnd w:id="9"/>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2.1. Patient Portal Development</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&amp; Profile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(MFA) with SMS and email verification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Encrypted patient profile with medical history and medication tracking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consent form signing and digital signature capture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HIPAA-compliant login with role-based access control</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Patient Interface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booking and consultation request submission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notification system for appointments and medication reminders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Vital sign display and health trend visualization with Recharts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messaging and in-app chat with clinicians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Enable patients to independently manage appointments, access health data, and communicate with providers in a secure, intuitive digital environment.</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2.2. Clinician Portal &amp; EHR Integration</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Clinician Dashboard</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caseload management with search and filtering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vital signs monitoring dashboard with alert thresholds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Calendar integration for appointment scheduling and availability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Prescription writing tool with medication database integration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EHR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HL7/FHIR-compliant API endpoints for Epic and Cerner integration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Bi-directional patient record synchronization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vital sign import from IoT devices into EHR</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Provide clinicians with a unified platform to access patient information, monitor health metrics, and manage consultations without leaving the system or switching between applications.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2.3. Real-time Video Consultation Engine</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Video Communication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Peer-to-peer WebRTC implementation or Twilio Programmable Video integration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HD video and audio streaming with adaptive bitrate control</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Screen sharing for clinician-to-patient demonstration of materials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Recording capability with patient consent and HIPAA-compliant storage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Consultation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In-call text chat and message history persistence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 session timeout and disconnect handling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availability calendar synchronized with consultation scheduling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Deliver reliable, secure, real-time consultation capability that meets clinical use cases and provides an experience comparable to in-office visits.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2.4. AI-Powered Symptom Checker &amp; Triage Assistant</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Assistant Engine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GPT-4o or Anthropic Claude API integration for symptom reasoning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healthcare knowledge base and prompt engineering for clinical accuracy</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Conversation history tracking and context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patient medical history for personalized responses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Triage &amp; Escalation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symptom severity assessment with urgency scoring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Intelligent escalation rules to route complex cases to clinicians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Recommendation engine for self-care guidance or immediate consultation needs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Reduce clinician workload by automating initial patient interactions while ensuring that complex or urgent cases are promptly escalated to qualified healthcare providers.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2.5. Remote Patient Monitoring &amp; IoT Integration</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Device Connectivity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BLE integration for iOS and Android mobile apps using native SDKs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Bluetooth device discovery, pairing, and de-pairing workflows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and Webhook support for cellular-enabled medical devices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IoT Core integration for secure device communication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Collection &amp; Monitoring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vital sign data capture and validation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alert generation when readings exceed configured thresholds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Historical vital data aggregation and trend analysis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Background data synchronization for offline-capable mobile apps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Enable continuous, passive patient monitoring through connected devices, providing clinicians with actionable data and enabling early detection of health deterioration.</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2.6. Scheduling, Billing &amp; Administration</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Scheduling &amp; Notifications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availability calendar with automated appointment slot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appointment booking interface with real-time availability</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Multi-channel notifications via SMS, email, and WhatsApp</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medication and follow-up reminder scheduling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Billing &amp; Payments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payment gateway integration with Stripe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Co-pay and subscription-based care plan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information capture and validation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Invoice generation and payment history tracking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Streamline administrative workflows to reduce manual overhead while ensuring reliable payment processing and compliance with insurance and billing requirements.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2.7. Security, Compliance &amp; Infrastructure</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Security &amp; Encryption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AES-256 encryption for data in transit (TLS 1.3) and at rest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(MFA) for all user types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(RBAC) with granular permission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audit logging of all system actions and data access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Compliance &amp; Infrastructure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compliance review and business associate agreement (BAA) support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ECS (Fargate) for containerized application deployment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RDS managed PostgreSQL with automated backups and replication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CloudFront CDN and Route53 DNS for global availability and DDoS protection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Ensure the platform meets healthcare regulatory requirements, protects sensitive patient data through advanced encryption and access controls, and provides reliable, scalable infrastructure for production operations.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1"/>
      <w:bookmarkEnd w:id="11"/>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Design &amp; Planning Deliverables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flow diagrams and wireframes for all portal features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High-fidelity interactive mockups in Figma</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architecture documentation and system design specifications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integration specifications for EHR systems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Application Code &amp; Artifacts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Production-ready source code for web portal (Next.js/React)</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Production-ready source code for mobile apps (Flutter/React Native)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Backend microservices code (Node.js/NestJS) with comprehensive API endpoints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migrations and seed data scripts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Environment configuration files and CI/CD pipeline scripts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 &amp; Infrastructure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CloudFormation templates for infrastructure as code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Docker containerization and Kubernetes/ECS deployment manifests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integration implementations (Twilio, OpenAI, Stripe, Epic/Cerner)</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device SDK integration and BLE pairing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Security Deliverables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 suites with &gt;80% code coverage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audit report with penetration testing results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compliance assessment and remediation documentation</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and performance optimization report</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Support</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technical documentation and API reference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End-user guides for patient and clinician portals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Administrator setup and deployment guide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Knowledge base article templates and FAQ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1">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52">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53">
      <w:pPr>
        <w:pStyle w:val="Heading2"/>
        <w:spacing w:after="200" w:before="300" w:lineRule="auto"/>
        <w:ind w:left="0" w:firstLine="0"/>
        <w:rPr>
          <w:rFonts w:ascii="Arial" w:cs="Arial" w:eastAsia="Arial" w:hAnsi="Arial"/>
          <w:b w:val="1"/>
          <w:bCs w:val="1"/>
          <w:color w:val="000000"/>
          <w:sz w:val="32"/>
          <w:szCs w:val="32"/>
        </w:rPr>
      </w:pPr>
      <w:bookmarkStart w:colFirst="0" w:colLast="0" w:name="_ryx4sy8d1hkb" w:id="12"/>
      <w:bookmarkEnd w:id="12"/>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 and TypeScript</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styling</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Recharts for data visualization</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Redux or Zustand for state management</w:t>
      </w:r>
    </w:p>
    <w:p w:rsidR="00000000" w:rsidDel="00000000" w:rsidP="00000000" w:rsidRDefault="00000000" w:rsidRPr="00000000" w14:paraId="0000005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with NestJS framework</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or Fastify for HTTP routing</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GraphQL or REST API patterns</w:t>
      </w:r>
    </w:p>
    <w:p w:rsidR="00000000" w:rsidDel="00000000" w:rsidP="00000000" w:rsidRDefault="00000000" w:rsidRPr="00000000" w14:paraId="0000005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&amp; Caching</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patient records</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session management and message queues</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Elasticsearch for audit log and search indexing</w:t>
      </w:r>
    </w:p>
    <w:p w:rsidR="00000000" w:rsidDel="00000000" w:rsidP="00000000" w:rsidRDefault="00000000" w:rsidRPr="00000000" w14:paraId="0000005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Cloud &amp; Hosting</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ECS Fargate for container orchestration</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RDS managed PostgreSQL with Multi-AZ replication</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S3 for secure document and backup storage</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CDN and Route53 for global distribution</w:t>
      </w:r>
    </w:p>
    <w:p w:rsidR="00000000" w:rsidDel="00000000" w:rsidP="00000000" w:rsidRDefault="00000000" w:rsidRPr="00000000" w14:paraId="0000005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VPC with private subnets and security groups</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TLS 1.3 for data in transit encryption</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AES-256 encryption for data at rest</w:t>
      </w:r>
    </w:p>
    <w:p w:rsidR="00000000" w:rsidDel="00000000" w:rsidP="00000000" w:rsidRDefault="00000000" w:rsidRPr="00000000" w14:paraId="00000058">
      <w:pPr>
        <w:numPr>
          <w:ilvl w:val="0"/>
          <w:numId w:val="7"/>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WAF and Shield for DDoS and attack prevention</w:t>
      </w:r>
    </w:p>
    <w:p w:rsidR="00000000" w:rsidDel="00000000" w:rsidP="00000000" w:rsidRDefault="00000000" w:rsidRPr="00000000" w14:paraId="0000005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5E">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3"/>
      <w:bookmarkEnd w:id="13"/>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60">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w:t>
        <w:br w:type="textWrapping"/>
      </w:r>
      <w:r w:rsidDel="00000000" w:rsidR="00000000" w:rsidRPr="00000000">
        <w:rPr>
          <w:rtl w:val="0"/>
        </w:rPr>
      </w:r>
    </w:p>
    <w:p w:rsidR="00000000" w:rsidDel="00000000" w:rsidP="00000000" w:rsidRDefault="00000000" w:rsidRPr="00000000" w14:paraId="00000061">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Deep Healthcare &amp; Compliance Expertise</w:t>
      </w:r>
    </w:p>
    <w:p w:rsidR="00000000" w:rsidDel="00000000" w:rsidP="00000000" w:rsidRDefault="00000000" w:rsidRPr="00000000" w14:paraId="00000065">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extensive experience delivering HIPAA-compliant solutions and understand the regulatory landscape, security requirements, and clinical workflows essential for telehealth platforms.</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track record with healthcare clients and regulated industry projects</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 knowledge of HIPAA, HL7/FHIR standards, and healthcare data handling</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Built-in security and compliance best practices into every solution</w:t>
      </w:r>
    </w:p>
    <w:p w:rsidR="00000000" w:rsidDel="00000000" w:rsidP="00000000" w:rsidRDefault="00000000" w:rsidRPr="00000000" w14:paraId="0000006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Modern, Scalable Technology Stack</w:t>
      </w:r>
    </w:p>
    <w:p w:rsidR="00000000" w:rsidDel="00000000" w:rsidP="00000000" w:rsidRDefault="00000000" w:rsidRPr="00000000" w14:paraId="00000065">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technology choices—Next.js, Node.js, NestJS, PostgreSQL, and AWS—represent industry-leading solutions designed specifically for the reliability, performance, and scalability demands of healthcare applications.</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Cloud-native architecture ensuring high availability and disaster recovery</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Containerization and infrastructure-as-code for rapid deployment and scaling</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capabilities built-in through WebSocket and event-driven patterns</w:t>
      </w:r>
    </w:p>
    <w:p w:rsidR="00000000" w:rsidDel="00000000" w:rsidP="00000000" w:rsidRDefault="00000000" w:rsidRPr="00000000" w14:paraId="0000006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Development Capability</w:t>
      </w:r>
    </w:p>
    <w:p w:rsidR="00000000" w:rsidDel="00000000" w:rsidP="00000000" w:rsidRDefault="00000000" w:rsidRPr="00000000" w14:paraId="00000065">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deliver complete end-to-end solutions including web, mobile, backend, DevOps, and infrastructure—eliminating coordination overhead and ensuring seamless integration across all components.</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Cross-platform mobile development with Flutter or React Native</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Backend services with microservices architecture for independent scaling</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infrastructure management and optimization</w:t>
      </w:r>
    </w:p>
    <w:p w:rsidR="00000000" w:rsidDel="00000000" w:rsidP="00000000" w:rsidRDefault="00000000" w:rsidRPr="00000000" w14:paraId="0000006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Proven AI Integration Expertise</w:t>
      </w:r>
    </w:p>
    <w:p w:rsidR="00000000" w:rsidDel="00000000" w:rsidP="00000000" w:rsidRDefault="00000000" w:rsidRPr="00000000" w14:paraId="00000065">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demonstrated success integrating large language models and AI services into production applications, ensuring safe, accurate, and compliant use of AI in clinical contexts.</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OpenAI API, Claude API, and other LLM integrations</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Knowledge of prompt engineering and fine-tuning for domain-specific accuracy</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Expertise in AI safety, monitoring, and responsible deployment</w:t>
      </w:r>
    </w:p>
    <w:p w:rsidR="00000000" w:rsidDel="00000000" w:rsidP="00000000" w:rsidRDefault="00000000" w:rsidRPr="00000000" w14:paraId="0000006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Agile Delivery with Transparent Communication</w:t>
      </w:r>
    </w:p>
    <w:p w:rsidR="00000000" w:rsidDel="00000000" w:rsidP="00000000" w:rsidRDefault="00000000" w:rsidRPr="00000000" w14:paraId="00000065">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follow agile methodologies with bi-weekly sprints, continuous feedback loops, and transparent status reporting to ensure your project stays aligned with objectives and timeline.</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Regular sprint reviews and stakeholder demos for visibility</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Dedicated project management with clear milestone tracking</w:t>
      </w:r>
    </w:p>
    <w:p w:rsidR="00000000" w:rsidDel="00000000" w:rsidP="00000000" w:rsidRDefault="00000000" w:rsidRPr="00000000" w14:paraId="00000068">
      <w:pPr>
        <w:numPr>
          <w:ilvl w:val="0"/>
          <w:numId w:val="2"/>
        </w:numPr>
        <w:spacing w:after="1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Proactive risk identification and mitigation planning</w:t>
      </w:r>
    </w:p>
    <w:p w:rsidR="00000000" w:rsidDel="00000000" w:rsidP="00000000" w:rsidRDefault="00000000" w:rsidRPr="00000000" w14:paraId="0000006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6E">
      <w:pPr>
        <w:pageBreakBefore w:val="1"/>
        <w:spacing w:after="0" w:before="300" w:lineRule="auto"/>
        <w:rPr/>
      </w:pPr>
      <w:r w:rsidDel="00000000" w:rsidR="00000000" w:rsidRPr="00000000">
        <w:rPr>
          <w:rtl w:val="0"/>
        </w:rPr>
      </w:r>
    </w:p>
    <w:p w:rsidR="00000000" w:rsidDel="00000000" w:rsidP="00000000" w:rsidRDefault="00000000" w:rsidRPr="00000000" w14:paraId="0000006F">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4"/>
      <w:bookmarkEnd w:id="14"/>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72">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&amp; Stakeholder Assumptions</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timely feedback, design approvals, and access to key stakeholders during development</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service providers (Twilio, OpenAI, Stripe) maintain service availability and API compatibility</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is committed to HIPAA compliance and will allocate resources for security audits and legal review</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or will secure necessary healthcare licenses, credentials, and legal agreements to operate a telehealth service</w:t>
      </w:r>
    </w:p>
    <w:p w:rsidR="00000000" w:rsidDel="00000000" w:rsidP="00000000" w:rsidRDefault="00000000" w:rsidRPr="00000000" w14:paraId="00000076">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Assumptions</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EHR systems (Epic, Cerner) will be done via standard HL7/FHIR APIs without custom data mappings</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device manufacturers provide publicly available SDKs or API documentation for Bluetooth/IoT connectivity</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use AWS as the primary cloud provider with appropriate budget allocation for infrastructure</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Internet connectivity and bandwidth are sufficient for real-time video consultations and continuous vital monitoring</w:t>
      </w:r>
    </w:p>
    <w:p w:rsidR="00000000" w:rsidDel="00000000" w:rsidP="00000000" w:rsidRDefault="00000000" w:rsidRPr="00000000" w14:paraId="00000076">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Scope &amp; Requirements Assumptions</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Feature scope remains consistent with the outlined requirements; significant additions will require scope revision</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Initial launch targets up to 5,000 concurrent users; scaling beyond this threshold may require architectural optimization</w:t>
      </w:r>
    </w:p>
    <w:p w:rsidR="00000000" w:rsidDel="00000000" w:rsidP="00000000" w:rsidRDefault="00000000" w:rsidRPr="00000000" w14:paraId="00000074">
      <w:pPr>
        <w:numPr>
          <w:ilvl w:val="0"/>
          <w:numId w:val="9"/>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MVP does not include advanced analytics, predictive modeling, or specialized clinical decision support systems</w:t>
      </w:r>
    </w:p>
    <w:p w:rsidR="00000000" w:rsidDel="00000000" w:rsidP="00000000" w:rsidRDefault="00000000" w:rsidRPr="00000000" w14:paraId="00000076">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9">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7A">
      <w:pPr>
        <w:pStyle w:val="Heading3"/>
        <w:rPr/>
      </w:pPr>
      <w:bookmarkStart w:colFirst="0" w:colLast="0" w:name="_ypp82ulfxq7b" w:id="15"/>
      <w:bookmarkEnd w:id="15"/>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rFonts w:ascii="Arial" w:cs="Arial" w:eastAsia="Arial" w:hAnsi="Arial"/>
          <w:b w:val="1"/>
          <w:bCs w:val="1"/>
          <w:color w:val="000000"/>
          <w:sz w:val="32"/>
          <w:szCs w:val="32"/>
        </w:rPr>
      </w:pPr>
      <w:bookmarkStart w:colFirst="0" w:colLast="0" w:name="_gasa49glhofo" w:id="16"/>
      <w:bookmarkEnd w:id="16"/>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D">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Regulatory &amp; Legal Services</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Healthcare licensing, credentialing, or regulatory compliance review</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Legal contract drafting or business associate agreement (BAA) preparation</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device certification or FDA approval processes</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Business Operations</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Hiring and training of clinicians or administrative staff</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Marketing, customer acquisition, or go-to-market strategy</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negotiations or reimbursement setup</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&amp; Optimization</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predictive analytics or machine learning for clinical outcomes</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Specialized surgical or emergency care modules</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Multi-language or international regulatory compliance beyond HIPAA</w:t>
      </w:r>
    </w:p>
    <w:p w:rsidR="00000000" w:rsidDel="00000000" w:rsidP="00000000" w:rsidRDefault="00000000" w:rsidRPr="00000000" w14:paraId="00000081">
      <w:pPr>
        <w:numPr>
          <w:ilvl w:val="0"/>
          <w:numId w:val="4"/>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payment systems beyond Stripe or custom billing rule engines</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5">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86">
      <w:pPr>
        <w:spacing w:after="140"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7">
      <w:pPr>
        <w:spacing w:after="140" w:lineRule="auto"/>
        <w:ind w:left="0" w:firstLine="0"/>
        <w:rPr/>
      </w:pPr>
      <w:r w:rsidDel="00000000" w:rsidR="00000000" w:rsidRPr="00000000">
        <w:rPr>
          <w:rtl w:val="0"/>
        </w:rPr>
      </w:r>
    </w:p>
    <w:p w:rsidR="00000000" w:rsidDel="00000000" w:rsidP="00000000" w:rsidRDefault="00000000" w:rsidRPr="00000000" w14:paraId="00000088">
      <w:pPr>
        <w:spacing w:after="140" w:lineRule="auto"/>
        <w:ind w:left="0" w:firstLine="0"/>
        <w:rPr/>
      </w:pPr>
      <w:r w:rsidDel="00000000" w:rsidR="00000000" w:rsidRPr="00000000">
        <w:rPr>
          <w:rtl w:val="0"/>
        </w:rPr>
      </w:r>
    </w:p>
    <w:p w:rsidR="00000000" w:rsidDel="00000000" w:rsidP="00000000" w:rsidRDefault="00000000" w:rsidRPr="00000000" w14:paraId="00000089">
      <w:pPr>
        <w:spacing w:after="140" w:lineRule="auto"/>
        <w:ind w:left="0" w:firstLine="0"/>
        <w:rPr/>
      </w:pPr>
      <w:r w:rsidDel="00000000" w:rsidR="00000000" w:rsidRPr="00000000">
        <w:rPr>
          <w:rtl w:val="0"/>
        </w:rPr>
      </w:r>
    </w:p>
    <w:p w:rsidR="00000000" w:rsidDel="00000000" w:rsidP="00000000" w:rsidRDefault="00000000" w:rsidRPr="00000000" w14:paraId="0000008A">
      <w:pPr>
        <w:spacing w:after="140" w:lineRule="auto"/>
        <w:ind w:left="0" w:firstLine="0"/>
        <w:rPr/>
      </w:pPr>
      <w:r w:rsidDel="00000000" w:rsidR="00000000" w:rsidRPr="00000000">
        <w:rPr>
          <w:rtl w:val="0"/>
        </w:rPr>
      </w:r>
    </w:p>
    <w:p w:rsidR="00000000" w:rsidDel="00000000" w:rsidP="00000000" w:rsidRDefault="00000000" w:rsidRPr="00000000" w14:paraId="0000008B">
      <w:pPr>
        <w:spacing w:after="140" w:lineRule="auto"/>
        <w:rPr/>
      </w:pPr>
      <w:r w:rsidDel="00000000" w:rsidR="00000000" w:rsidRPr="00000000">
        <w:rPr>
          <w:rtl w:val="0"/>
        </w:rPr>
      </w:r>
    </w:p>
    <w:p w:rsidR="00000000" w:rsidDel="00000000" w:rsidP="00000000" w:rsidRDefault="00000000" w:rsidRPr="00000000" w14:paraId="0000008C">
      <w:pPr>
        <w:pStyle w:val="Heading2"/>
        <w:spacing w:after="140" w:lineRule="auto"/>
        <w:rPr>
          <w:rFonts w:ascii="Arial" w:cs="Arial" w:eastAsia="Arial" w:hAnsi="Arial"/>
          <w:b w:val="1"/>
          <w:bCs w:val="1"/>
          <w:color w:val="000000"/>
          <w:sz w:val="32"/>
          <w:szCs w:val="32"/>
        </w:rPr>
      </w:pPr>
      <w:bookmarkStart w:colFirst="0" w:colLast="0" w:name="_z79mpogxjwu9" w:id="17"/>
      <w:bookmarkEnd w:id="17"/>
      <w:r w:rsidDel="00000000" w:rsidR="00000000" w:rsidRPr="00000000">
        <w:rPr>
          <w:rtl w:val="0"/>
        </w:rPr>
        <w:br w:type="textWrapping"/>
      </w:r>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08D">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E">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F">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2">
            <w:pPr>
              <w:ind w:left="0" w:firstLine="0"/>
              <w:rPr>
                <w:sz w:val="24"/>
                <w:szCs w:val="24"/>
              </w:rPr>
            </w:pPr>
            <w:r w:rsidDel="00000000" w:rsidR="00000000" w:rsidRPr="00000000">
              <w:rPr>
                <w:rFonts w:ascii="Proxima Nova" w:cs="Proxima Nova" w:eastAsia="Proxima Nova" w:hAnsi="Proxima Nov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3">
            <w:pPr>
              <w:ind w:left="420" w:firstLine="0"/>
              <w:rPr>
                <w:sz w:val="24"/>
                <w:szCs w:val="24"/>
              </w:rPr>
            </w:pPr>
            <w:r w:rsidDel="00000000" w:rsidR="00000000" w:rsidRPr="00000000">
              <w:rPr>
                <w:rFonts w:ascii="Proxima Nova" w:cs="Proxima Nova" w:eastAsia="Proxima Nova" w:hAnsi="Proxima Nova"/>
                <w:sz w:val="24"/>
                <w:szCs w:val="24"/>
                <w:rtl w:val="0"/>
              </w:rPr>
              <w:t xml:space="preserve">Discovery &amp; UI/UX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4">
            <w:pPr>
              <w:ind w:left="0" w:firstLine="0"/>
              <w:rPr>
                <w:sz w:val="24"/>
                <w:szCs w:val="24"/>
              </w:rPr>
            </w:pPr>
            <w:r w:rsidDel="00000000" w:rsidR="00000000" w:rsidRPr="00000000">
              <w:rPr>
                <w:rFonts w:ascii="Proxima Nova" w:cs="Proxima Nova" w:eastAsia="Proxima Nova" w:hAnsi="Proxima Nova"/>
                <w:sz w:val="24"/>
                <w:szCs w:val="24"/>
                <w:rtl w:val="0"/>
              </w:rPr>
              <w:t xml:space="preserve">Conduct stakeholder interviews and define detailed user personasCreate user flow diagrams and wireframes for all portal featuresDevelop high-fidelity interactive mockups and design system documentationFinalize technical architecture and third-party integration specifications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5">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2">
            <w:pPr>
              <w:ind w:left="0" w:firstLine="0"/>
              <w:rPr>
                <w:sz w:val="24"/>
                <w:szCs w:val="24"/>
              </w:rPr>
            </w:pPr>
            <w:r w:rsidDel="00000000" w:rsidR="00000000" w:rsidRPr="00000000">
              <w:rPr>
                <w:rFonts w:ascii="Proxima Nova" w:cs="Proxima Nova" w:eastAsia="Proxima Nova" w:hAnsi="Proxima Nov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3">
            <w:pPr>
              <w:ind w:left="420" w:firstLine="0"/>
              <w:rPr>
                <w:sz w:val="24"/>
                <w:szCs w:val="24"/>
              </w:rPr>
            </w:pPr>
            <w:r w:rsidDel="00000000" w:rsidR="00000000" w:rsidRPr="00000000">
              <w:rPr>
                <w:rFonts w:ascii="Proxima Nova" w:cs="Proxima Nova" w:eastAsia="Proxima Nova" w:hAnsi="Proxima Nova"/>
                <w:sz w:val="24"/>
                <w:szCs w:val="24"/>
                <w:rtl w:val="0"/>
              </w:rPr>
              <w:t xml:space="preserve">Core Platform &amp; HIPAA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4">
            <w:pPr>
              <w:ind w:left="0" w:firstLine="0"/>
              <w:rPr>
                <w:sz w:val="24"/>
                <w:szCs w:val="24"/>
              </w:rPr>
            </w:pPr>
            <w:r w:rsidDel="00000000" w:rsidR="00000000" w:rsidRPr="00000000">
              <w:rPr>
                <w:rFonts w:ascii="Proxima Nova" w:cs="Proxima Nova" w:eastAsia="Proxima Nova" w:hAnsi="Proxima Nova"/>
                <w:sz w:val="24"/>
                <w:szCs w:val="24"/>
                <w:rtl w:val="0"/>
              </w:rPr>
              <w:t xml:space="preserve">Design and implement PostgreSQL schema with audit loggingBuild authentication, MFA, and role-based access control systemDevelop patient and clinician portal backbones with basic navigationEstablish AWS infrastructure with VPC, RDS, S3, and security configurations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5">
            <w:pPr>
              <w:ind w:left="0" w:firstLine="0"/>
              <w:rPr>
                <w:sz w:val="24"/>
                <w:szCs w:val="24"/>
              </w:rPr>
            </w:pPr>
            <w:r w:rsidDel="00000000" w:rsidR="00000000" w:rsidRPr="00000000">
              <w:rPr>
                <w:rFonts w:ascii="Proxima Nova" w:cs="Proxima Nova" w:eastAsia="Proxima Nova" w:hAnsi="Proxima Nov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2">
            <w:pPr>
              <w:ind w:left="0" w:firstLine="0"/>
              <w:rPr>
                <w:sz w:val="24"/>
                <w:szCs w:val="24"/>
              </w:rPr>
            </w:pPr>
            <w:r w:rsidDel="00000000" w:rsidR="00000000" w:rsidRPr="00000000">
              <w:rPr>
                <w:rFonts w:ascii="Proxima Nova" w:cs="Proxima Nova" w:eastAsia="Proxima Nova" w:hAnsi="Proxima Nov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3">
            <w:pPr>
              <w:ind w:left="420" w:firstLine="0"/>
              <w:rPr>
                <w:sz w:val="24"/>
                <w:szCs w:val="24"/>
              </w:rPr>
            </w:pPr>
            <w:r w:rsidDel="00000000" w:rsidR="00000000" w:rsidRPr="00000000">
              <w:rPr>
                <w:rFonts w:ascii="Proxima Nova" w:cs="Proxima Nova" w:eastAsia="Proxima Nova" w:hAnsi="Proxima Nova"/>
                <w:sz w:val="24"/>
                <w:szCs w:val="24"/>
                <w:rtl w:val="0"/>
              </w:rPr>
              <w:t xml:space="preserve">Video Calling &amp; IoT/BLE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4">
            <w:pPr>
              <w:ind w:left="0" w:firstLine="0"/>
              <w:rPr>
                <w:sz w:val="24"/>
                <w:szCs w:val="24"/>
              </w:rPr>
            </w:pPr>
            <w:r w:rsidDel="00000000" w:rsidR="00000000" w:rsidRPr="00000000">
              <w:rPr>
                <w:rFonts w:ascii="Proxima Nova" w:cs="Proxima Nova" w:eastAsia="Proxima Nova" w:hAnsi="Proxima Nova"/>
                <w:sz w:val="24"/>
                <w:szCs w:val="24"/>
                <w:rtl w:val="0"/>
              </w:rPr>
              <w:t xml:space="preserve">Implement WebRTC or Twilio Programmable Video consultation engineAdd screen-sharing and in-call chat messaging functionalityDevelop BLE integration for mobile and API integration for cellular devicesBuild vital sign data ingestion, validation, and dashboard visualization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5">
            <w:pPr>
              <w:ind w:left="0" w:firstLine="0"/>
              <w:rPr>
                <w:sz w:val="24"/>
                <w:szCs w:val="24"/>
              </w:rPr>
            </w:pPr>
            <w:r w:rsidDel="00000000" w:rsidR="00000000" w:rsidRPr="00000000">
              <w:rPr>
                <w:rFonts w:ascii="Proxima Nova" w:cs="Proxima Nova" w:eastAsia="Proxima Nova" w:hAnsi="Proxima Nov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2">
            <w:pPr>
              <w:ind w:left="0" w:firstLine="0"/>
              <w:rPr>
                <w:sz w:val="24"/>
                <w:szCs w:val="24"/>
              </w:rPr>
            </w:pPr>
            <w:r w:rsidDel="00000000" w:rsidR="00000000" w:rsidRPr="00000000">
              <w:rPr>
                <w:rFonts w:ascii="Proxima Nova" w:cs="Proxima Nova" w:eastAsia="Proxima Nova" w:hAnsi="Proxima Nov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3">
            <w:pPr>
              <w:ind w:left="420" w:firstLine="0"/>
              <w:rPr>
                <w:sz w:val="24"/>
                <w:szCs w:val="24"/>
              </w:rPr>
            </w:pPr>
            <w:r w:rsidDel="00000000" w:rsidR="00000000" w:rsidRPr="00000000">
              <w:rPr>
                <w:rFonts w:ascii="Proxima Nova" w:cs="Proxima Nova" w:eastAsia="Proxima Nova" w:hAnsi="Proxima Nova"/>
                <w:sz w:val="24"/>
                <w:szCs w:val="24"/>
                <w:rtl w:val="0"/>
              </w:rPr>
              <w:t xml:space="preserve">AI Assistant &amp; Triage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4">
            <w:pPr>
              <w:ind w:left="0" w:firstLine="0"/>
              <w:rPr>
                <w:sz w:val="24"/>
                <w:szCs w:val="24"/>
              </w:rPr>
            </w:pPr>
            <w:r w:rsidDel="00000000" w:rsidR="00000000" w:rsidRPr="00000000">
              <w:rPr>
                <w:rFonts w:ascii="Proxima Nova" w:cs="Proxima Nova" w:eastAsia="Proxima Nova" w:hAnsi="Proxima Nova"/>
                <w:sz w:val="24"/>
                <w:szCs w:val="24"/>
                <w:rtl w:val="0"/>
              </w:rPr>
              <w:t xml:space="preserve">Integrate OpenAI GPT-4o or Anthropic Claude API for symptom checkerDevelop custom healthcare knowledge base and prompt engineeringImplement triage logic and escalation workflowsCreate AI conversation history tracking and response monitoring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5">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2">
            <w:pPr>
              <w:ind w:left="0" w:firstLine="0"/>
              <w:rPr>
                <w:sz w:val="24"/>
                <w:szCs w:val="24"/>
              </w:rPr>
            </w:pPr>
            <w:r w:rsidDel="00000000" w:rsidR="00000000" w:rsidRPr="00000000">
              <w:rPr>
                <w:rFonts w:ascii="Proxima Nova" w:cs="Proxima Nova" w:eastAsia="Proxima Nova" w:hAnsi="Proxima Nov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3">
            <w:pPr>
              <w:ind w:left="420" w:firstLine="0"/>
              <w:rPr>
                <w:sz w:val="24"/>
                <w:szCs w:val="24"/>
              </w:rPr>
            </w:pPr>
            <w:r w:rsidDel="00000000" w:rsidR="00000000" w:rsidRPr="00000000">
              <w:rPr>
                <w:rFonts w:ascii="Proxima Nova" w:cs="Proxima Nova" w:eastAsia="Proxima Nova" w:hAnsi="Proxima Nova"/>
                <w:sz w:val="24"/>
                <w:szCs w:val="24"/>
                <w:rtl w:val="0"/>
              </w:rPr>
              <w:t xml:space="preserve">Quality Assurance &amp;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4">
            <w:pPr>
              <w:ind w:left="0" w:firstLine="0"/>
              <w:rPr>
                <w:sz w:val="24"/>
                <w:szCs w:val="24"/>
              </w:rPr>
            </w:pPr>
            <w:r w:rsidDel="00000000" w:rsidR="00000000" w:rsidRPr="00000000">
              <w:rPr>
                <w:rFonts w:ascii="Proxima Nova" w:cs="Proxima Nova" w:eastAsia="Proxima Nova" w:hAnsi="Proxima Nova"/>
                <w:sz w:val="24"/>
                <w:szCs w:val="24"/>
                <w:rtl w:val="0"/>
              </w:rPr>
              <w:t xml:space="preserve">Execute comprehensive security audit and penetration testingConduct HIPAA compliance review and remediation of findingsPerform load testing and performance optimizationDeploy to AWS production environments and conduct final user acceptance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5">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bl>
    <w:p w:rsidR="00000000" w:rsidDel="00000000" w:rsidP="00000000" w:rsidRDefault="00000000" w:rsidRPr="00000000" w14:paraId="00000096">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br w:type="textWrapping"/>
      </w:r>
    </w:p>
    <w:p w:rsidR="00000000" w:rsidDel="00000000" w:rsidP="00000000" w:rsidRDefault="00000000" w:rsidRPr="00000000" w14:paraId="000000A2">
      <w:pPr>
        <w:pStyle w:val="Heading2"/>
        <w:rPr>
          <w:rFonts w:ascii="Arial" w:cs="Arial" w:eastAsia="Arial" w:hAnsi="Arial"/>
          <w:b w:val="1"/>
          <w:bCs w:val="1"/>
          <w:color w:val="000000"/>
          <w:sz w:val="32"/>
          <w:szCs w:val="32"/>
        </w:rPr>
      </w:pPr>
      <w:bookmarkStart w:colFirst="0" w:colLast="0" w:name="_ifw8m628egut" w:id="18"/>
      <w:bookmarkEnd w:id="18"/>
      <w:r w:rsidDel="00000000" w:rsidR="00000000" w:rsidRPr="00000000">
        <w:rPr>
          <w:rtl w:val="0"/>
        </w:rPr>
        <w:br w:type="textWrapping"/>
      </w:r>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br w:type="textWrapping"/>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1"/>
        <w:keepLines w:val="1"/>
        <w:spacing w:after="200" w:lineRule="auto"/>
        <w:rPr/>
      </w:pPr>
      <w:r w:rsidDel="00000000" w:rsidR="00000000" w:rsidRPr="00000000">
        <w:rPr>
          <w:rtl w:val="0"/>
        </w:rPr>
      </w:r>
    </w:p>
    <w:p w:rsidR="00000000" w:rsidDel="00000000" w:rsidP="00000000" w:rsidRDefault="00000000" w:rsidRPr="00000000" w14:paraId="000000C5">
      <w:pPr>
        <w:keepNext w:val="1"/>
        <w:keepLines w:val="1"/>
        <w:spacing w:after="200" w:lineRule="auto"/>
        <w:rPr/>
      </w:pPr>
      <w:r w:rsidDel="00000000" w:rsidR="00000000" w:rsidRPr="00000000">
        <w:rPr>
          <w:rtl w:val="0"/>
        </w:rPr>
        <w:br w:type="textWrapping"/>
      </w:r>
    </w:p>
    <w:p w:rsidR="00000000" w:rsidDel="00000000" w:rsidP="00000000" w:rsidRDefault="00000000" w:rsidRPr="00000000" w14:paraId="000000C6">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1"/>
        <w:keepLines w:val="1"/>
        <w:spacing w:after="200" w:lineRule="auto"/>
        <w:rPr/>
      </w:pPr>
      <w:r w:rsidDel="00000000" w:rsidR="00000000" w:rsidRPr="00000000">
        <w:rPr>
          <w:rtl w:val="0"/>
        </w:rPr>
      </w:r>
    </w:p>
    <w:p w:rsidR="00000000" w:rsidDel="00000000" w:rsidP="00000000" w:rsidRDefault="00000000" w:rsidRPr="00000000" w14:paraId="000000C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19"/>
      <w:bookmarkEnd w:id="19"/>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D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Following production launch, Invennico TechnoLabs provides comprehensive post-launch support to ensure system stability, performance, and ongoing optimization.</w:t>
      </w:r>
    </w:p>
    <w:p w:rsidR="00000000" w:rsidDel="00000000" w:rsidP="00000000" w:rsidRDefault="00000000" w:rsidRPr="00000000" w14:paraId="000000D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D5">
      <w:pPr>
        <w:numPr>
          <w:ilvl w:val="0"/>
          <w:numId w:val="5"/>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30-day production stabilization period with daily monitoring and rapid issue resolution</w:t>
      </w:r>
    </w:p>
    <w:p w:rsidR="00000000" w:rsidDel="00000000" w:rsidP="00000000" w:rsidRDefault="00000000" w:rsidRPr="00000000" w14:paraId="000000D5">
      <w:pPr>
        <w:numPr>
          <w:ilvl w:val="0"/>
          <w:numId w:val="5"/>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Bug fixes and critical hotpatches for issues identified in production</w:t>
      </w:r>
    </w:p>
    <w:p w:rsidR="00000000" w:rsidDel="00000000" w:rsidP="00000000" w:rsidRDefault="00000000" w:rsidRPr="00000000" w14:paraId="000000D5">
      <w:pPr>
        <w:numPr>
          <w:ilvl w:val="0"/>
          <w:numId w:val="5"/>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optimization recommendations, and capacity planning</w:t>
      </w:r>
    </w:p>
    <w:p w:rsidR="00000000" w:rsidDel="00000000" w:rsidP="00000000" w:rsidRDefault="00000000" w:rsidRPr="00000000" w14:paraId="000000D5">
      <w:pPr>
        <w:numPr>
          <w:ilvl w:val="0"/>
          <w:numId w:val="5"/>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monitoring, log analysis, and threat detection with monthly reports</w:t>
      </w:r>
    </w:p>
    <w:p w:rsidR="00000000" w:rsidDel="00000000" w:rsidP="00000000" w:rsidRDefault="00000000" w:rsidRPr="00000000" w14:paraId="000000D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D9">
      <w:pPr>
        <w:numPr>
          <w:ilvl w:val="0"/>
          <w:numId w:val="10"/>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platform includes a 90-day warranty period from the date of production launch, during which Invennico will address critical bugs, security vulnerabilities, and issues preventing normal system operation at no additional cost. This warranty covers defects in implementation and integration but excludes issues arising from client modifications, third-party service failures, or changes to external APIs.</w:t>
      </w:r>
    </w:p>
    <w:p w:rsidR="00000000" w:rsidDel="00000000" w:rsidP="00000000" w:rsidRDefault="00000000" w:rsidRPr="00000000" w14:paraId="000000D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D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Beyond the initial warranty period, optional ongoing support retainers are available to ensure continuous system health, compliance, and feature enhancements.</w:t>
      </w:r>
    </w:p>
    <w:p w:rsidR="00000000" w:rsidDel="00000000" w:rsidP="00000000" w:rsidRDefault="00000000" w:rsidRPr="00000000" w14:paraId="000000D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E">
      <w:pPr>
        <w:numPr>
          <w:ilvl w:val="0"/>
          <w:numId w:val="8"/>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24/7 on-call support with 1-hour response time for critical production incidents</w:t>
      </w:r>
    </w:p>
    <w:p w:rsidR="00000000" w:rsidDel="00000000" w:rsidP="00000000" w:rsidRDefault="00000000" w:rsidRPr="00000000" w14:paraId="000000D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E">
      <w:pPr>
        <w:numPr>
          <w:ilvl w:val="0"/>
          <w:numId w:val="8"/>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system health checks, security audits, and performance optimization</w:t>
      </w:r>
    </w:p>
    <w:p w:rsidR="00000000" w:rsidDel="00000000" w:rsidP="00000000" w:rsidRDefault="00000000" w:rsidRPr="00000000" w14:paraId="000000D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E">
      <w:pPr>
        <w:numPr>
          <w:ilvl w:val="0"/>
          <w:numId w:val="8"/>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infrastructure reviews and cost optimization analysis</w:t>
      </w:r>
    </w:p>
    <w:p w:rsidR="00000000" w:rsidDel="00000000" w:rsidP="00000000" w:rsidRDefault="00000000" w:rsidRPr="00000000" w14:paraId="000000D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E">
      <w:pPr>
        <w:numPr>
          <w:ilvl w:val="0"/>
          <w:numId w:val="8"/>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bug fixes and patch deployment within 48 hours of identification</w:t>
      </w:r>
    </w:p>
    <w:p w:rsidR="00000000" w:rsidDel="00000000" w:rsidP="00000000" w:rsidRDefault="00000000" w:rsidRPr="00000000" w14:paraId="000000D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E">
      <w:pPr>
        <w:numPr>
          <w:ilvl w:val="0"/>
          <w:numId w:val="8"/>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feature roadmap planning and technical advisory services</w:t>
      </w:r>
    </w:p>
    <w:p w:rsidR="00000000" w:rsidDel="00000000" w:rsidP="00000000" w:rsidRDefault="00000000" w:rsidRPr="00000000" w14:paraId="000000D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0">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pricing, SLA commitments, and specific service level agreements will be defined separately based on the client's operational needs and risk tolerance.</w:t>
      </w:r>
    </w:p>
    <w:p w:rsidR="00000000" w:rsidDel="00000000" w:rsidP="00000000" w:rsidRDefault="00000000" w:rsidRPr="00000000" w14:paraId="000000E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3">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E4">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E5">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