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29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IN0021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02-12-2024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  <w:br w:type="textWrapping"/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9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Digi</w:t>
              <w:br w:type="textWrapping"/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November 2024</w:t>
            </w:r>
          </w:p>
          <w:p w:rsidR="00000000" w:rsidDel="00000000" w:rsidP="00000000" w:rsidRDefault="00000000" w:rsidRPr="00000000" w14:paraId="00000024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to 30th November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200000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69" w:lineRule="auto"/>
              <w:ind w:left="16"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236000</w:t>
            </w:r>
          </w:p>
        </w:tc>
      </w:tr>
    </w:tbl>
    <w:p w:rsidR="00000000" w:rsidDel="00000000" w:rsidP="00000000" w:rsidRDefault="00000000" w:rsidRPr="00000000" w14:paraId="00000033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Two lakh thirty-six thousand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L3vM2aykIGZ+xPO4lc/FmFYAg==">CgMxLjA4AHIhMVZIdmFsOE1zYl9sN245U0d6MWs3X0FLcDdyMEl1azRn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