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Engineering Standards</w:t>
      </w:r>
    </w:p>
    <w:p>
      <w:r>
        <w:t xml:space="preserve">Document ID: ENG-STD-001    Version: 2.1    Effective Date: 2026-09-01</w:t>
      </w:r>
    </w:p>
    <w:p>
      <w:r>
        <w:t xml:space="preserve">Owner: Engineering Excellence Team    Classification: Internal</w:t>
      </w:r>
    </w:p>
    <w:p>
      <w:pPr>
        <w:pStyle w:val="Heading1"/>
      </w:pPr>
      <w:r>
        <w:t xml:space="preserve">1. Purpose and Scope</w:t>
      </w:r>
    </w:p>
    <w:p>
      <w:r>
        <w:t xml:space="preserve">This document defines the mandatory engineering standards for all software produced by the organization. It applies to all source code, configuration, tests, and deployment artifacts across all repositories and services.</w:t>
      </w:r>
    </w:p>
    <w:p>
      <w:pPr>
        <w:pStyle w:val="Heading1"/>
      </w:pPr>
      <w:r>
        <w:t xml:space="preserve">2. Code Quality Standards</w:t>
      </w:r>
    </w:p>
    <w:p>
      <w:pPr>
        <w:pStyle w:val="Heading2"/>
      </w:pPr>
      <w:r>
        <w:t xml:space="preserve">2.1 General Principles</w:t>
      </w:r>
    </w:p>
    <w:p>
      <w:r>
        <w:t xml:space="preserve">All code MUST be readable, self-documenting, and reviewed by at least one qualified peer before merge. Functions SHOULD do one thing; cyclomatic complexity MUST NOT exceed 15 per function without an approved waiver.</w:t>
      </w:r>
    </w:p>
    <w:p>
      <w:pPr>
        <w:pStyle w:val="Heading2"/>
      </w:pPr>
      <w:r>
        <w:t xml:space="preserve">2.2 Naming Conventions</w:t>
      </w:r>
    </w:p>
    <w:p>
      <w:r>
        <w:t xml:space="preserve">Variables and functions use snake_case in Python and camelCase in JavaScript/TypeScript. Classes use PascalCase. Constants use UPPER_SNAKE_CASE. Names MUST be descriptive; single-letter names are permitted only as loop indices or in lambda expressions.</w:t>
      </w:r>
    </w:p>
    <w:p>
      <w:pPr>
        <w:pStyle w:val="Heading2"/>
      </w:pPr>
      <w:r>
        <w:t xml:space="preserve">2.3 Documentation</w:t>
      </w:r>
    </w:p>
    <w:p>
      <w:r>
        <w:t xml:space="preserve">Every public module, class, and function MUST carry a docstring describing purpose, parameters, return values, and raised exceptions. Non-obvious logic MUST be explained with an inline comment stating why, not what.</w:t>
      </w:r>
    </w:p>
    <w:p>
      <w:pPr>
        <w:pStyle w:val="Heading1"/>
      </w:pPr>
      <w:r>
        <w:t xml:space="preserve">3. Security Standards</w:t>
      </w:r>
    </w:p>
    <w:p>
      <w:r>
        <w:t xml:space="preserve">Secrets, tokens, and credentials MUST NEVER be committed to source control. All secrets MUST be injected via environment variables or a managed secrets store. All user input MUST be validated and sanitized at trust boundaries. Dependencies MUST be scanned for known vulnerabilities in CI; builds MUST fail on critical findings.</w:t>
      </w:r>
    </w:p>
    <w:p>
      <w:pPr>
        <w:pStyle w:val="Heading1"/>
      </w:pPr>
      <w:r>
        <w:t xml:space="preserve">4. Testing Standards</w:t>
      </w:r>
    </w:p>
    <w:p>
      <w:r>
        <w:t xml:space="preserve">New features MUST ship with unit tests achieving a minimum of 80% line coverage on changed code. Bug fixes MUST include a regression test that fails without the fix. Integration tests MUST cover all externally-facing API endpoints.</w:t>
      </w:r>
    </w:p>
    <w:p>
      <w:pPr>
        <w:pStyle w:val="Heading1"/>
      </w:pPr>
      <w:r>
        <w:t xml:space="preserve">5. Version Control Standards</w:t>
      </w:r>
    </w:p>
    <w:p>
      <w:r>
        <w:t xml:space="preserve">Commits MUST be small, logically atomic, and use conventional commit messages (feat:, fix:, chore:, docs:, refactor:, test:). Direct commits to main are prohibited. All changes flow through pull requests with CI green and at least one approval.</w:t>
      </w:r>
    </w:p>
    <w:p>
      <w:pPr>
        <w:pStyle w:val="Heading1"/>
      </w:pPr>
      <w:r>
        <w:t xml:space="preserve">6. Review and Enforcement</w:t>
      </w:r>
    </w:p>
    <w:p>
      <w:r>
        <w:t xml:space="preserve">Compliance is enforced via automated linting, static analysis, and CI gates. Exceptions require a written waiver approved by the Engineering Lead and must be revisited quarterly.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